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6" w:type="pct"/>
        <w:jc w:val="center"/>
        <w:tblCellSpacing w:w="0" w:type="dxa"/>
        <w:tblInd w:w="-800" w:type="dxa"/>
        <w:tblCellMar>
          <w:left w:w="0" w:type="dxa"/>
          <w:right w:w="0" w:type="dxa"/>
        </w:tblCellMar>
        <w:tblLook w:val="04A0"/>
      </w:tblPr>
      <w:tblGrid>
        <w:gridCol w:w="9011"/>
      </w:tblGrid>
      <w:tr w:rsidR="005F1627" w:rsidRPr="005F1627" w:rsidTr="00AD3B3D">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p>
          <w:p w:rsidR="005F1627" w:rsidRPr="005F1627" w:rsidRDefault="007E0CF5" w:rsidP="005F1627">
            <w:pPr>
              <w:spacing w:after="0" w:line="240" w:lineRule="auto"/>
              <w:rPr>
                <w:rFonts w:ascii="Times New Roman" w:eastAsia="Times New Roman" w:hAnsi="Times New Roman" w:cs="Times New Roman"/>
                <w:color w:val="000000"/>
                <w:sz w:val="24"/>
                <w:szCs w:val="24"/>
                <w:lang w:eastAsia="ru-RU"/>
              </w:rPr>
            </w:pPr>
            <w:r w:rsidRPr="007E0CF5">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обеспечение государством равенства возможностей для каждого ребенка в получении качественного </w:t>
            </w:r>
            <w:r w:rsidRPr="00A54BEC">
              <w:rPr>
                <w:rFonts w:ascii="Arial" w:eastAsia="Times New Roman" w:hAnsi="Arial" w:cs="Arial"/>
                <w:color w:val="000000"/>
                <w:sz w:val="18"/>
                <w:szCs w:val="18"/>
                <w:lang w:eastAsia="ru-RU"/>
              </w:rPr>
              <w:lastRenderedPageBreak/>
              <w:t>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w:t>
            </w:r>
            <w:r w:rsidRPr="00A54BEC">
              <w:rPr>
                <w:rFonts w:ascii="Arial" w:eastAsia="Times New Roman" w:hAnsi="Arial" w:cs="Arial"/>
                <w:color w:val="000000"/>
                <w:sz w:val="18"/>
                <w:szCs w:val="18"/>
                <w:lang w:eastAsia="ru-RU"/>
              </w:rPr>
              <w:lastRenderedPageBreak/>
              <w:t>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w:t>
            </w:r>
            <w:r w:rsidRPr="00A54BEC">
              <w:rPr>
                <w:rFonts w:ascii="Arial" w:eastAsia="Times New Roman" w:hAnsi="Arial" w:cs="Arial"/>
                <w:color w:val="000000"/>
                <w:sz w:val="18"/>
                <w:szCs w:val="18"/>
                <w:lang w:eastAsia="ru-RU"/>
              </w:rPr>
              <w:lastRenderedPageBreak/>
              <w:t xml:space="preserve">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w:t>
            </w:r>
            <w:r w:rsidRPr="00A54BEC">
              <w:rPr>
                <w:rFonts w:ascii="Arial" w:eastAsia="Times New Roman" w:hAnsi="Arial" w:cs="Arial"/>
                <w:color w:val="000000"/>
                <w:sz w:val="18"/>
                <w:szCs w:val="18"/>
                <w:lang w:eastAsia="ru-RU"/>
              </w:rPr>
              <w:lastRenderedPageBreak/>
              <w:t>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w:t>
            </w:r>
            <w:r w:rsidRPr="00A54BEC">
              <w:rPr>
                <w:rFonts w:ascii="Arial" w:eastAsia="Times New Roman" w:hAnsi="Arial" w:cs="Arial"/>
                <w:color w:val="000000"/>
                <w:sz w:val="18"/>
                <w:szCs w:val="18"/>
                <w:lang w:eastAsia="ru-RU"/>
              </w:rPr>
              <w:lastRenderedPageBreak/>
              <w:t>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w:t>
            </w:r>
            <w:r w:rsidRPr="00A54BEC">
              <w:rPr>
                <w:rFonts w:ascii="Arial" w:eastAsia="Times New Roman" w:hAnsi="Arial" w:cs="Arial"/>
                <w:color w:val="000000"/>
                <w:sz w:val="18"/>
                <w:szCs w:val="18"/>
                <w:lang w:eastAsia="ru-RU"/>
              </w:rPr>
              <w:lastRenderedPageBreak/>
              <w:t>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w:t>
            </w:r>
            <w:r w:rsidRPr="00A54BEC">
              <w:rPr>
                <w:rFonts w:ascii="Arial" w:eastAsia="Times New Roman" w:hAnsi="Arial" w:cs="Arial"/>
                <w:color w:val="000000"/>
                <w:sz w:val="18"/>
                <w:szCs w:val="18"/>
                <w:lang w:eastAsia="ru-RU"/>
              </w:rPr>
              <w:lastRenderedPageBreak/>
              <w:t>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двигательную активность, в том числе развитие крупной и мелкой моторики, участие в подвижных играх и </w:t>
            </w:r>
            <w:r w:rsidRPr="00A54BEC">
              <w:rPr>
                <w:rFonts w:ascii="Arial" w:eastAsia="Times New Roman" w:hAnsi="Arial" w:cs="Arial"/>
                <w:color w:val="000000"/>
                <w:sz w:val="18"/>
                <w:szCs w:val="18"/>
                <w:lang w:eastAsia="ru-RU"/>
              </w:rPr>
              <w:lastRenderedPageBreak/>
              <w:t>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w:t>
            </w:r>
            <w:r w:rsidRPr="00A54BEC">
              <w:rPr>
                <w:rFonts w:ascii="Arial" w:eastAsia="Times New Roman" w:hAnsi="Arial" w:cs="Arial"/>
                <w:color w:val="000000"/>
                <w:sz w:val="18"/>
                <w:szCs w:val="18"/>
                <w:lang w:eastAsia="ru-RU"/>
              </w:rPr>
              <w:lastRenderedPageBreak/>
              <w:t>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обеспечивать возможность выполнения требований Стандарта к условиям реализации и структуре </w:t>
            </w:r>
            <w:r w:rsidRPr="00A54BEC">
              <w:rPr>
                <w:rFonts w:ascii="Arial" w:eastAsia="Times New Roman" w:hAnsi="Arial" w:cs="Arial"/>
                <w:color w:val="000000"/>
                <w:sz w:val="18"/>
                <w:szCs w:val="18"/>
                <w:lang w:eastAsia="ru-RU"/>
              </w:rPr>
              <w:lastRenderedPageBreak/>
              <w:t>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54BEC">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54BEC">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w:t>
            </w:r>
            <w:proofErr w:type="gramStart"/>
            <w:r w:rsidRPr="00A54BEC">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w:t>
            </w:r>
            <w:r w:rsidRPr="00A54BEC">
              <w:rPr>
                <w:rFonts w:ascii="Arial" w:eastAsia="Times New Roman" w:hAnsi="Arial" w:cs="Arial"/>
                <w:color w:val="000000"/>
                <w:sz w:val="18"/>
                <w:szCs w:val="18"/>
                <w:lang w:eastAsia="ru-RU"/>
              </w:rPr>
              <w:lastRenderedPageBreak/>
              <w:t>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 xml:space="preserve">ри круглосуточном пребывании детей в Группе реализация программы осуществляется не более </w:t>
            </w:r>
            <w:r w:rsidRPr="00A54BEC">
              <w:rPr>
                <w:rFonts w:ascii="Arial" w:eastAsia="Times New Roman" w:hAnsi="Arial" w:cs="Arial"/>
                <w:i/>
                <w:iCs/>
                <w:color w:val="000000"/>
                <w:sz w:val="18"/>
                <w:szCs w:val="18"/>
                <w:lang w:eastAsia="ru-RU"/>
              </w:rPr>
              <w:lastRenderedPageBreak/>
              <w:t>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54BEC">
              <w:rPr>
                <w:rFonts w:ascii="Arial" w:eastAsia="Times New Roman" w:hAnsi="Arial" w:cs="Arial"/>
                <w:i/>
                <w:iCs/>
                <w:color w:val="000000"/>
                <w:sz w:val="18"/>
                <w:szCs w:val="18"/>
                <w:lang w:eastAsia="ru-RU"/>
              </w:rPr>
              <w:t xml:space="preserve"> </w:t>
            </w:r>
            <w:proofErr w:type="gramStart"/>
            <w:r w:rsidRPr="00A54BEC">
              <w:rPr>
                <w:rFonts w:ascii="Arial" w:eastAsia="Times New Roman" w:hAnsi="Arial" w:cs="Arial"/>
                <w:i/>
                <w:iCs/>
                <w:color w:val="000000"/>
                <w:sz w:val="18"/>
                <w:szCs w:val="18"/>
                <w:lang w:eastAsia="ru-RU"/>
              </w:rPr>
              <w:t>2013, N 14, ст. 1666; N 27, ст. 3477).</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7E0CF5" w:rsidP="005F1627">
            <w:pPr>
              <w:spacing w:after="0" w:line="240" w:lineRule="auto"/>
              <w:rPr>
                <w:rFonts w:ascii="Times New Roman" w:eastAsia="Times New Roman" w:hAnsi="Times New Roman" w:cs="Times New Roman"/>
                <w:color w:val="000000"/>
                <w:sz w:val="24"/>
                <w:szCs w:val="24"/>
                <w:lang w:eastAsia="ru-RU"/>
              </w:rPr>
            </w:pPr>
            <w:r w:rsidRPr="007E0CF5">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7"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3" name="Рисунок 3" descr="Rambler's Top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 name="Рисунок 1" descr="Рейтинг@Mail.ru">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3"/>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42" w:rsidRDefault="00566042" w:rsidP="005F1627">
      <w:pPr>
        <w:spacing w:after="0" w:line="240" w:lineRule="auto"/>
      </w:pPr>
      <w:r>
        <w:separator/>
      </w:r>
    </w:p>
  </w:endnote>
  <w:endnote w:type="continuationSeparator" w:id="0">
    <w:p w:rsidR="00566042" w:rsidRDefault="00566042"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Content>
      <w:p w:rsidR="005F1627" w:rsidRDefault="007E0CF5">
        <w:pPr>
          <w:pStyle w:val="a9"/>
          <w:jc w:val="right"/>
        </w:pPr>
        <w:r>
          <w:fldChar w:fldCharType="begin"/>
        </w:r>
        <w:r w:rsidR="005F1627">
          <w:instrText>PAGE   \* MERGEFORMAT</w:instrText>
        </w:r>
        <w:r>
          <w:fldChar w:fldCharType="separate"/>
        </w:r>
        <w:r w:rsidR="00DE24EF">
          <w:rPr>
            <w:noProof/>
          </w:rPr>
          <w:t>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42" w:rsidRDefault="00566042" w:rsidP="005F1627">
      <w:pPr>
        <w:spacing w:after="0" w:line="240" w:lineRule="auto"/>
      </w:pPr>
      <w:r>
        <w:separator/>
      </w:r>
    </w:p>
  </w:footnote>
  <w:footnote w:type="continuationSeparator" w:id="0">
    <w:p w:rsidR="00566042" w:rsidRDefault="00566042"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7E0CF5"/>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DE24EF"/>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F5"/>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home?id=25092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g@rg.ru" TargetMode="External"/><Relationship Id="rId12" Type="http://schemas.openxmlformats.org/officeDocument/2006/relationships/image" Target="media/image4.gif"/><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top.mail.ru/jump?from=1165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8147</Words>
  <Characters>46442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Антипина</cp:lastModifiedBy>
  <cp:revision>7</cp:revision>
  <dcterms:created xsi:type="dcterms:W3CDTF">2013-11-27T05:40:00Z</dcterms:created>
  <dcterms:modified xsi:type="dcterms:W3CDTF">2014-02-18T11:01:00Z</dcterms:modified>
</cp:coreProperties>
</file>