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14884" w:type="dxa"/>
        <w:tblInd w:w="-3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39"/>
        <w:gridCol w:w="6945"/>
      </w:tblGrid>
      <w:tr w14:paraId="54203C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8" w:hRule="atLeast"/>
        </w:trPr>
        <w:tc>
          <w:tcPr>
            <w:tcW w:w="7939" w:type="dxa"/>
          </w:tcPr>
          <w:p w14:paraId="1EFE32F6">
            <w:pPr>
              <w:ind w:right="-2"/>
              <w:jc w:val="right"/>
              <w:rPr>
                <w:rFonts w:cs="Times New Roman"/>
                <w:szCs w:val="28"/>
              </w:rPr>
            </w:pPr>
          </w:p>
        </w:tc>
        <w:tc>
          <w:tcPr>
            <w:tcW w:w="6945" w:type="dxa"/>
          </w:tcPr>
          <w:p w14:paraId="21D2CBC8">
            <w:pPr>
              <w:ind w:firstLine="0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УТВЕРЖДАЮ:</w:t>
            </w:r>
          </w:p>
          <w:p w14:paraId="1BB1D46C">
            <w:pPr>
              <w:ind w:firstLine="0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Заведующий МДОУ «Детский сад № 1 «Теремок»</w:t>
            </w:r>
          </w:p>
          <w:p w14:paraId="161BF285">
            <w:pPr>
              <w:tabs>
                <w:tab w:val="left" w:pos="4395"/>
              </w:tabs>
              <w:ind w:firstLine="0"/>
              <w:jc w:val="right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__________________________________Н.Ю. Антипина</w:t>
            </w:r>
          </w:p>
          <w:p w14:paraId="629BB5B4">
            <w:pPr>
              <w:ind w:firstLine="0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«______» ____________ 202</w:t>
            </w:r>
            <w:r>
              <w:rPr>
                <w:rFonts w:hint="default" w:cs="Times New Roman"/>
                <w:szCs w:val="28"/>
                <w:lang w:val="ru-RU"/>
              </w:rPr>
              <w:t>5</w:t>
            </w:r>
            <w:r>
              <w:rPr>
                <w:rFonts w:cs="Times New Roman"/>
                <w:szCs w:val="28"/>
              </w:rPr>
              <w:t xml:space="preserve"> года</w:t>
            </w:r>
          </w:p>
        </w:tc>
      </w:tr>
    </w:tbl>
    <w:p w14:paraId="7A21A96F">
      <w:pPr>
        <w:ind w:firstLine="0"/>
        <w:jc w:val="right"/>
        <w:rPr>
          <w:rFonts w:cs="Times New Roman"/>
          <w:bCs/>
          <w:lang w:eastAsia="ru-RU"/>
        </w:rPr>
      </w:pPr>
    </w:p>
    <w:p w14:paraId="2BDEFE31">
      <w:pPr>
        <w:ind w:right="113"/>
        <w:jc w:val="center"/>
        <w:rPr>
          <w:rFonts w:cs="Times New Roman"/>
          <w:b/>
          <w:bCs/>
          <w:szCs w:val="28"/>
        </w:rPr>
      </w:pPr>
      <w:r>
        <w:rPr>
          <w:rFonts w:cs="Times New Roman"/>
          <w:b/>
          <w:bCs/>
          <w:szCs w:val="28"/>
        </w:rPr>
        <w:t xml:space="preserve">ОТЧЕТ </w:t>
      </w:r>
    </w:p>
    <w:p w14:paraId="3186B9D5">
      <w:pPr>
        <w:ind w:right="113"/>
        <w:jc w:val="center"/>
        <w:rPr>
          <w:rFonts w:cs="Times New Roman"/>
          <w:szCs w:val="28"/>
        </w:rPr>
      </w:pPr>
      <w:r>
        <w:rPr>
          <w:rFonts w:cs="Times New Roman"/>
          <w:b/>
          <w:bCs/>
          <w:szCs w:val="28"/>
        </w:rPr>
        <w:t xml:space="preserve">об исполнении плана мероприятий по противодействию коррупции </w:t>
      </w:r>
    </w:p>
    <w:tbl>
      <w:tblPr>
        <w:tblStyle w:val="5"/>
        <w:tblW w:w="2970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50"/>
        <w:gridCol w:w="14850"/>
      </w:tblGrid>
      <w:tr w14:paraId="0E9944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50" w:type="dxa"/>
            <w:tcBorders>
              <w:bottom w:val="single" w:color="auto" w:sz="4" w:space="0"/>
            </w:tcBorders>
          </w:tcPr>
          <w:p w14:paraId="3284FD2E">
            <w:pPr>
              <w:jc w:val="center"/>
              <w:rPr>
                <w:rFonts w:cs="Times New Roman"/>
                <w:b/>
                <w:color w:val="FF0000"/>
                <w:szCs w:val="28"/>
              </w:rPr>
            </w:pPr>
            <w:r>
              <w:rPr>
                <w:rFonts w:cs="Times New Roman"/>
                <w:b/>
                <w:szCs w:val="28"/>
              </w:rPr>
              <w:t>Муниципальное дошкольное образовательное учреждение «Детский сад № 1 «Теремок»</w:t>
            </w:r>
          </w:p>
        </w:tc>
        <w:tc>
          <w:tcPr>
            <w:tcW w:w="14850" w:type="dxa"/>
            <w:tcBorders>
              <w:bottom w:val="single" w:color="auto" w:sz="4" w:space="0"/>
            </w:tcBorders>
          </w:tcPr>
          <w:p w14:paraId="6D9D7ED4">
            <w:pPr>
              <w:jc w:val="center"/>
              <w:rPr>
                <w:rFonts w:cs="Times New Roman"/>
                <w:b/>
                <w:color w:val="FF0000"/>
                <w:szCs w:val="28"/>
              </w:rPr>
            </w:pPr>
            <w:r>
              <w:rPr>
                <w:rFonts w:cs="Times New Roman"/>
                <w:b/>
                <w:color w:val="FF0000"/>
                <w:szCs w:val="28"/>
              </w:rPr>
              <w:t>наименование органа исполнительной власти (органа местного самоуправления)</w:t>
            </w:r>
          </w:p>
        </w:tc>
      </w:tr>
      <w:tr w14:paraId="40795C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50" w:type="dxa"/>
            <w:tcBorders>
              <w:top w:val="single" w:color="auto" w:sz="4" w:space="0"/>
            </w:tcBorders>
          </w:tcPr>
          <w:p w14:paraId="4E614D5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наименование учреждения</w:t>
            </w:r>
          </w:p>
        </w:tc>
        <w:tc>
          <w:tcPr>
            <w:tcW w:w="14850" w:type="dxa"/>
            <w:tcBorders>
              <w:top w:val="single" w:color="auto" w:sz="4" w:space="0"/>
            </w:tcBorders>
          </w:tcPr>
          <w:p w14:paraId="6511C2F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(наименование органа исполнительной власти (органа местного самоуправления)</w:t>
            </w:r>
          </w:p>
        </w:tc>
      </w:tr>
    </w:tbl>
    <w:p w14:paraId="00EF603A">
      <w:pPr>
        <w:ind w:right="113" w:firstLine="0"/>
        <w:jc w:val="center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за 202</w:t>
      </w:r>
      <w:r>
        <w:rPr>
          <w:rFonts w:hint="default" w:cs="Times New Roman"/>
          <w:b/>
          <w:szCs w:val="28"/>
          <w:lang w:val="ru-RU"/>
        </w:rPr>
        <w:t>4</w:t>
      </w:r>
      <w:r>
        <w:rPr>
          <w:rFonts w:cs="Times New Roman"/>
          <w:b/>
          <w:szCs w:val="28"/>
        </w:rPr>
        <w:t xml:space="preserve"> год</w:t>
      </w:r>
    </w:p>
    <w:p w14:paraId="653C21DE">
      <w:pPr>
        <w:ind w:right="113"/>
        <w:jc w:val="both"/>
        <w:rPr>
          <w:rFonts w:cs="Times New Roman"/>
          <w:szCs w:val="28"/>
        </w:rPr>
      </w:pPr>
    </w:p>
    <w:tbl>
      <w:tblPr>
        <w:tblStyle w:val="5"/>
        <w:tblW w:w="1485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6521"/>
        <w:gridCol w:w="1729"/>
        <w:gridCol w:w="1814"/>
        <w:gridCol w:w="3969"/>
      </w:tblGrid>
      <w:tr w14:paraId="5A4996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05E1334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№ </w:t>
            </w:r>
            <w:r>
              <w:rPr>
                <w:rFonts w:cs="Times New Roman"/>
                <w:sz w:val="24"/>
                <w:szCs w:val="24"/>
              </w:rPr>
              <w:br w:type="textWrapping"/>
            </w:r>
            <w:r>
              <w:rPr>
                <w:rFonts w:cs="Times New Roman"/>
                <w:sz w:val="24"/>
                <w:szCs w:val="24"/>
              </w:rPr>
              <w:t>п/п</w:t>
            </w:r>
          </w:p>
        </w:tc>
        <w:tc>
          <w:tcPr>
            <w:tcW w:w="6521" w:type="dxa"/>
          </w:tcPr>
          <w:p w14:paraId="16220A9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729" w:type="dxa"/>
          </w:tcPr>
          <w:p w14:paraId="0A790AD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Срок исполнения мероприятия</w:t>
            </w:r>
          </w:p>
        </w:tc>
        <w:tc>
          <w:tcPr>
            <w:tcW w:w="1814" w:type="dxa"/>
          </w:tcPr>
          <w:p w14:paraId="19181A4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Исполнитель мероприятия</w:t>
            </w:r>
          </w:p>
        </w:tc>
        <w:tc>
          <w:tcPr>
            <w:tcW w:w="3969" w:type="dxa"/>
          </w:tcPr>
          <w:p w14:paraId="48B4B3C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Отметка о выполнении</w:t>
            </w:r>
          </w:p>
        </w:tc>
      </w:tr>
    </w:tbl>
    <w:p w14:paraId="5281BD18">
      <w:pPr>
        <w:rPr>
          <w:rFonts w:cs="Times New Roman"/>
          <w:sz w:val="2"/>
          <w:szCs w:val="2"/>
        </w:rPr>
      </w:pPr>
    </w:p>
    <w:tbl>
      <w:tblPr>
        <w:tblStyle w:val="5"/>
        <w:tblW w:w="1485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6521"/>
        <w:gridCol w:w="1729"/>
        <w:gridCol w:w="1814"/>
        <w:gridCol w:w="3969"/>
      </w:tblGrid>
      <w:tr w14:paraId="6C9C05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blHeader/>
        </w:trPr>
        <w:tc>
          <w:tcPr>
            <w:tcW w:w="817" w:type="dxa"/>
          </w:tcPr>
          <w:p w14:paraId="5F73503C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6521" w:type="dxa"/>
          </w:tcPr>
          <w:p w14:paraId="4A94B38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29" w:type="dxa"/>
          </w:tcPr>
          <w:p w14:paraId="02E8B13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814" w:type="dxa"/>
          </w:tcPr>
          <w:p w14:paraId="3A80B55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14:paraId="3F0BF563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</w:t>
            </w:r>
          </w:p>
        </w:tc>
      </w:tr>
      <w:tr w14:paraId="2C0DBB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6" w:hRule="atLeast"/>
        </w:trPr>
        <w:tc>
          <w:tcPr>
            <w:tcW w:w="14850" w:type="dxa"/>
            <w:gridSpan w:val="5"/>
          </w:tcPr>
          <w:p w14:paraId="422C4FC4">
            <w:pPr>
              <w:pStyle w:val="6"/>
              <w:spacing w:line="240" w:lineRule="auto"/>
              <w:ind w:left="0" w:right="0" w:firstLine="0"/>
              <w:rPr>
                <w:rFonts w:eastAsia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>Осуществление антикоррупционных мер в рамках реализации законодательства по противодействию коррупции</w:t>
            </w:r>
          </w:p>
        </w:tc>
      </w:tr>
      <w:tr w14:paraId="61B44D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515E92B8">
            <w:pPr>
              <w:pStyle w:val="7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521" w:type="dxa"/>
          </w:tcPr>
          <w:p w14:paraId="08967E32">
            <w:pPr>
              <w:ind w:firstLine="0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Проведение анализа коррупционных рисков при осуще</w:t>
            </w:r>
            <w:r>
              <w:rPr>
                <w:rFonts w:cs="Times New Roman"/>
                <w:sz w:val="26"/>
                <w:szCs w:val="26"/>
              </w:rPr>
              <w:softHyphen/>
            </w:r>
            <w:r>
              <w:rPr>
                <w:rFonts w:cs="Times New Roman"/>
                <w:sz w:val="26"/>
                <w:szCs w:val="26"/>
              </w:rPr>
              <w:t>ствлении текущей деятельности и доработка (в случае необходимости) в целях противодействия коррупцион</w:t>
            </w:r>
            <w:r>
              <w:rPr>
                <w:rFonts w:cs="Times New Roman"/>
                <w:sz w:val="26"/>
                <w:szCs w:val="26"/>
              </w:rPr>
              <w:softHyphen/>
            </w:r>
            <w:r>
              <w:rPr>
                <w:rFonts w:cs="Times New Roman"/>
                <w:sz w:val="26"/>
                <w:szCs w:val="26"/>
              </w:rPr>
              <w:t>ным проявлениям должностных регламентов сотрудников учреждения</w:t>
            </w:r>
          </w:p>
        </w:tc>
        <w:tc>
          <w:tcPr>
            <w:tcW w:w="1729" w:type="dxa"/>
          </w:tcPr>
          <w:p w14:paraId="671DC427">
            <w:pPr>
              <w:widowControl w:val="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По мере необ</w:t>
            </w:r>
            <w:r>
              <w:rPr>
                <w:rFonts w:cs="Times New Roman"/>
                <w:sz w:val="26"/>
                <w:szCs w:val="26"/>
              </w:rPr>
              <w:softHyphen/>
            </w:r>
            <w:r>
              <w:rPr>
                <w:rFonts w:cs="Times New Roman"/>
                <w:sz w:val="26"/>
                <w:szCs w:val="26"/>
              </w:rPr>
              <w:t>ходимости, но не реже 1 раза в квартал</w:t>
            </w:r>
          </w:p>
        </w:tc>
        <w:tc>
          <w:tcPr>
            <w:tcW w:w="1814" w:type="dxa"/>
          </w:tcPr>
          <w:p w14:paraId="08027003">
            <w:pPr>
              <w:ind w:firstLine="0"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Заведующий Н.Ю. Антипина</w:t>
            </w:r>
          </w:p>
        </w:tc>
        <w:tc>
          <w:tcPr>
            <w:tcW w:w="3969" w:type="dxa"/>
          </w:tcPr>
          <w:p w14:paraId="171FD41C">
            <w:pPr>
              <w:ind w:firstLine="0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выполнено </w:t>
            </w:r>
          </w:p>
        </w:tc>
      </w:tr>
      <w:tr w14:paraId="391F85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486F61E6">
            <w:pPr>
              <w:pStyle w:val="7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521" w:type="dxa"/>
          </w:tcPr>
          <w:p w14:paraId="5A819638">
            <w:pPr>
              <w:spacing w:after="12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Актуализация перечня коррупционных рисков и перечня должностей с высоким риском коррупционных проявлений в учреждении на основе проведенного анализа коррупционных рисков, возникающих при реализации функций учреждения </w:t>
            </w:r>
          </w:p>
        </w:tc>
        <w:tc>
          <w:tcPr>
            <w:tcW w:w="1729" w:type="dxa"/>
          </w:tcPr>
          <w:p w14:paraId="553C9D5B">
            <w:pPr>
              <w:spacing w:after="12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До 01 декабря</w:t>
            </w:r>
          </w:p>
        </w:tc>
        <w:tc>
          <w:tcPr>
            <w:tcW w:w="1814" w:type="dxa"/>
          </w:tcPr>
          <w:p w14:paraId="2B9EBB5D">
            <w:pPr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Члены антикоррупционной рабочей группы</w:t>
            </w:r>
          </w:p>
        </w:tc>
        <w:tc>
          <w:tcPr>
            <w:tcW w:w="3969" w:type="dxa"/>
          </w:tcPr>
          <w:p w14:paraId="57D37340">
            <w:pPr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выполнено</w:t>
            </w:r>
          </w:p>
        </w:tc>
      </w:tr>
      <w:tr w14:paraId="6F587A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6DEA46A6">
            <w:pPr>
              <w:pStyle w:val="7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521" w:type="dxa"/>
          </w:tcPr>
          <w:p w14:paraId="0353D131">
            <w:pPr>
              <w:spacing w:after="12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Проведение разъяснительной работы с сотрудниками учреждения о порядке и особенностях исполнения запретов, требований и ограничений, исполнения обязанностей, установленных в целях противодействия коррупции</w:t>
            </w:r>
          </w:p>
        </w:tc>
        <w:tc>
          <w:tcPr>
            <w:tcW w:w="1729" w:type="dxa"/>
          </w:tcPr>
          <w:p w14:paraId="039CEC94">
            <w:pPr>
              <w:spacing w:after="12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Постоянно</w:t>
            </w:r>
          </w:p>
        </w:tc>
        <w:tc>
          <w:tcPr>
            <w:tcW w:w="1814" w:type="dxa"/>
          </w:tcPr>
          <w:p w14:paraId="72439DF3">
            <w:pPr>
              <w:spacing w:after="20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Члены антикоррупционной рабочей группы </w:t>
            </w:r>
          </w:p>
        </w:tc>
        <w:tc>
          <w:tcPr>
            <w:tcW w:w="3969" w:type="dxa"/>
          </w:tcPr>
          <w:p w14:paraId="35280ADF">
            <w:pPr>
              <w:spacing w:after="20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выполнено </w:t>
            </w:r>
          </w:p>
        </w:tc>
      </w:tr>
      <w:tr w14:paraId="29EC22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580A392F">
            <w:pPr>
              <w:pStyle w:val="7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521" w:type="dxa"/>
          </w:tcPr>
          <w:p w14:paraId="7F6A0D41">
            <w:pPr>
              <w:spacing w:after="12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Обеспечение деятельности комиссии по противодействию коррупции</w:t>
            </w:r>
          </w:p>
        </w:tc>
        <w:tc>
          <w:tcPr>
            <w:tcW w:w="1729" w:type="dxa"/>
          </w:tcPr>
          <w:p w14:paraId="0AC7E52D">
            <w:pPr>
              <w:spacing w:after="12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Постоянно,</w:t>
            </w:r>
            <w:r>
              <w:rPr>
                <w:rFonts w:cs="Times New Roman"/>
                <w:sz w:val="26"/>
                <w:szCs w:val="26"/>
              </w:rPr>
              <w:br w:type="textWrapping"/>
            </w:r>
            <w:r>
              <w:rPr>
                <w:rFonts w:cs="Times New Roman"/>
                <w:sz w:val="26"/>
                <w:szCs w:val="26"/>
              </w:rPr>
              <w:t>заседания - по мере необхо</w:t>
            </w:r>
            <w:r>
              <w:rPr>
                <w:rFonts w:cs="Times New Roman"/>
                <w:sz w:val="26"/>
                <w:szCs w:val="26"/>
              </w:rPr>
              <w:softHyphen/>
            </w:r>
            <w:r>
              <w:rPr>
                <w:rFonts w:cs="Times New Roman"/>
                <w:sz w:val="26"/>
                <w:szCs w:val="26"/>
              </w:rPr>
              <w:t>димости, но не реже 1 раза в квартал</w:t>
            </w:r>
          </w:p>
        </w:tc>
        <w:tc>
          <w:tcPr>
            <w:tcW w:w="1814" w:type="dxa"/>
          </w:tcPr>
          <w:p w14:paraId="740052C6">
            <w:pPr>
              <w:spacing w:after="20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Председатель антикоррупционной рабочей группы</w:t>
            </w:r>
          </w:p>
        </w:tc>
        <w:tc>
          <w:tcPr>
            <w:tcW w:w="3969" w:type="dxa"/>
          </w:tcPr>
          <w:p w14:paraId="3A0192F8">
            <w:pPr>
              <w:spacing w:after="20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выполнено </w:t>
            </w:r>
          </w:p>
        </w:tc>
      </w:tr>
      <w:tr w14:paraId="7E8C33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337B7E51">
            <w:pPr>
              <w:pStyle w:val="7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521" w:type="dxa"/>
          </w:tcPr>
          <w:p w14:paraId="2566F07A">
            <w:pPr>
              <w:spacing w:after="12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Рассмотрение на заседаниях комиссии по противодействию коррупции актов прокурорского реагирования (информации) органов прокуратуры, вынесенных в отношении сотрудников учреждения, в связи с нарушением ими норм законодательства о противодействии коррупции</w:t>
            </w:r>
          </w:p>
        </w:tc>
        <w:tc>
          <w:tcPr>
            <w:tcW w:w="1729" w:type="dxa"/>
          </w:tcPr>
          <w:p w14:paraId="1506F20D">
            <w:pPr>
              <w:spacing w:after="12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По мере поступления актов прокурорского реагирования (информации)</w:t>
            </w:r>
          </w:p>
        </w:tc>
        <w:tc>
          <w:tcPr>
            <w:tcW w:w="1814" w:type="dxa"/>
          </w:tcPr>
          <w:p w14:paraId="48DB6404">
            <w:pPr>
              <w:spacing w:after="20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Заведующий Н.Ю. Антипина</w:t>
            </w:r>
          </w:p>
        </w:tc>
        <w:tc>
          <w:tcPr>
            <w:tcW w:w="3969" w:type="dxa"/>
          </w:tcPr>
          <w:p w14:paraId="284D3406">
            <w:pPr>
              <w:spacing w:after="20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Случаев</w:t>
            </w:r>
            <w:r>
              <w:rPr>
                <w:rFonts w:hint="default" w:cs="Times New Roman"/>
                <w:sz w:val="26"/>
                <w:szCs w:val="26"/>
                <w:lang w:val="ru-RU"/>
              </w:rPr>
              <w:t xml:space="preserve"> не зарегистрировано</w:t>
            </w:r>
            <w:bookmarkStart w:id="1" w:name="_GoBack"/>
            <w:bookmarkEnd w:id="1"/>
            <w:r>
              <w:rPr>
                <w:rFonts w:cs="Times New Roman"/>
                <w:sz w:val="26"/>
                <w:szCs w:val="26"/>
              </w:rPr>
              <w:t xml:space="preserve"> </w:t>
            </w:r>
          </w:p>
        </w:tc>
      </w:tr>
      <w:tr w14:paraId="266742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2AC56FCA">
            <w:pPr>
              <w:pStyle w:val="7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521" w:type="dxa"/>
          </w:tcPr>
          <w:p w14:paraId="413E5F63">
            <w:pPr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Проведение анализа работы комиссии по противодействию коррупции на предмет выявления систематически рассматриваемых на комиссии вопросов для дальнейшего принятии мер по профилактике коррупционных проявлений</w:t>
            </w:r>
          </w:p>
        </w:tc>
        <w:tc>
          <w:tcPr>
            <w:tcW w:w="1729" w:type="dxa"/>
          </w:tcPr>
          <w:p w14:paraId="4A132E21">
            <w:pPr>
              <w:spacing w:after="12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Ежеквартально, до 05 числа ме</w:t>
            </w:r>
            <w:r>
              <w:rPr>
                <w:rFonts w:cs="Times New Roman"/>
                <w:sz w:val="26"/>
                <w:szCs w:val="26"/>
              </w:rPr>
              <w:softHyphen/>
            </w:r>
            <w:r>
              <w:rPr>
                <w:rFonts w:cs="Times New Roman"/>
                <w:sz w:val="26"/>
                <w:szCs w:val="26"/>
              </w:rPr>
              <w:t>сяца, следующего за отчетным кварталом</w:t>
            </w:r>
          </w:p>
        </w:tc>
        <w:tc>
          <w:tcPr>
            <w:tcW w:w="1814" w:type="dxa"/>
          </w:tcPr>
          <w:p w14:paraId="232EACDE">
            <w:pPr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Антикоррупционная рабочая группа</w:t>
            </w:r>
          </w:p>
        </w:tc>
        <w:tc>
          <w:tcPr>
            <w:tcW w:w="3969" w:type="dxa"/>
          </w:tcPr>
          <w:p w14:paraId="2FABB89B">
            <w:pPr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выполнено</w:t>
            </w:r>
          </w:p>
        </w:tc>
      </w:tr>
      <w:tr w14:paraId="3F6C71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08239A16">
            <w:pPr>
              <w:pStyle w:val="7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521" w:type="dxa"/>
          </w:tcPr>
          <w:p w14:paraId="12C87C27">
            <w:pPr>
              <w:spacing w:after="12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Организация работы по выявлению случаев возникно</w:t>
            </w:r>
            <w:r>
              <w:rPr>
                <w:rFonts w:cs="Times New Roman"/>
                <w:sz w:val="26"/>
                <w:szCs w:val="26"/>
              </w:rPr>
              <w:softHyphen/>
            </w:r>
            <w:r>
              <w:rPr>
                <w:rFonts w:cs="Times New Roman"/>
                <w:sz w:val="26"/>
                <w:szCs w:val="26"/>
              </w:rPr>
              <w:t>вения конфликта интересов, одной из сторон которого являются сотрудники учреждения, принятие предусмотренных законодательством Российской Федерации мер по предотвращению и урегулированию конфликта интересов и мер ответственности к сотрудникам учреждения, не урегулировавшим конфликт интересов, а также по преданию гласности каждого случая конфликта интересов</w:t>
            </w:r>
          </w:p>
        </w:tc>
        <w:tc>
          <w:tcPr>
            <w:tcW w:w="1729" w:type="dxa"/>
          </w:tcPr>
          <w:p w14:paraId="02488ACD">
            <w:pPr>
              <w:spacing w:after="12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 течение года, по отдельному плану</w:t>
            </w:r>
          </w:p>
        </w:tc>
        <w:tc>
          <w:tcPr>
            <w:tcW w:w="1814" w:type="dxa"/>
          </w:tcPr>
          <w:p w14:paraId="57581297">
            <w:pPr>
              <w:spacing w:after="20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Комиссия по урегулированию споров</w:t>
            </w:r>
          </w:p>
        </w:tc>
        <w:tc>
          <w:tcPr>
            <w:tcW w:w="3969" w:type="dxa"/>
          </w:tcPr>
          <w:p w14:paraId="767D8D6B">
            <w:pPr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Фактов не выявлено </w:t>
            </w:r>
          </w:p>
        </w:tc>
      </w:tr>
      <w:tr w14:paraId="45E7031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5723269F">
            <w:pPr>
              <w:pStyle w:val="7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521" w:type="dxa"/>
          </w:tcPr>
          <w:p w14:paraId="6FC2FF0F">
            <w:pPr>
              <w:spacing w:after="12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Организация работы по уведомлению сотрудниками учреждения представителя нанимателя в случае обращения в целях склонения сотрудников учреждения к совершению коррупционных правонарушений и проверке сведений, содержащихся в указанных обращениях</w:t>
            </w:r>
          </w:p>
        </w:tc>
        <w:tc>
          <w:tcPr>
            <w:tcW w:w="1729" w:type="dxa"/>
          </w:tcPr>
          <w:p w14:paraId="480A2EAC">
            <w:pPr>
              <w:spacing w:after="12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814" w:type="dxa"/>
          </w:tcPr>
          <w:p w14:paraId="156B7217">
            <w:pPr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Члены антикоррупционной рабочей группы</w:t>
            </w:r>
          </w:p>
        </w:tc>
        <w:tc>
          <w:tcPr>
            <w:tcW w:w="3969" w:type="dxa"/>
          </w:tcPr>
          <w:p w14:paraId="3F251775">
            <w:pPr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Фактов не было </w:t>
            </w:r>
          </w:p>
        </w:tc>
      </w:tr>
      <w:tr w14:paraId="77E517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07EFB9FC">
            <w:pPr>
              <w:pStyle w:val="7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521" w:type="dxa"/>
          </w:tcPr>
          <w:p w14:paraId="4762CF46">
            <w:pPr>
              <w:spacing w:after="12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Рассмотрение уведомлений представителя нанимателя об обращениях в целях склонения сотрудников учреждения к совершению коррупционных правонарушений и проверка сведений, содержащихся в указанных обращениях, поступивших от сотрудников учреждения </w:t>
            </w:r>
          </w:p>
        </w:tc>
        <w:tc>
          <w:tcPr>
            <w:tcW w:w="1729" w:type="dxa"/>
          </w:tcPr>
          <w:p w14:paraId="03823E37">
            <w:pPr>
              <w:spacing w:after="12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 течение года, по мере поступления</w:t>
            </w:r>
          </w:p>
        </w:tc>
        <w:tc>
          <w:tcPr>
            <w:tcW w:w="1814" w:type="dxa"/>
          </w:tcPr>
          <w:p w14:paraId="6B0D13A2">
            <w:pPr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Антикоррупционная рабочая группа</w:t>
            </w:r>
          </w:p>
        </w:tc>
        <w:tc>
          <w:tcPr>
            <w:tcW w:w="3969" w:type="dxa"/>
          </w:tcPr>
          <w:p w14:paraId="244B32F0">
            <w:pPr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Фактов не было</w:t>
            </w:r>
          </w:p>
        </w:tc>
      </w:tr>
      <w:tr w14:paraId="3537F3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63157A8F">
            <w:pPr>
              <w:pStyle w:val="7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521" w:type="dxa"/>
          </w:tcPr>
          <w:p w14:paraId="31F35FE8">
            <w:pPr>
              <w:spacing w:after="12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Осуществление анализа публикаций в СМИ о фактах коррупционных правонарушений в деятельности учреждения </w:t>
            </w:r>
          </w:p>
        </w:tc>
        <w:tc>
          <w:tcPr>
            <w:tcW w:w="1729" w:type="dxa"/>
          </w:tcPr>
          <w:p w14:paraId="7265A712">
            <w:pPr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Ежеквартально, до 20 числа ме</w:t>
            </w:r>
            <w:r>
              <w:rPr>
                <w:rFonts w:cs="Times New Roman"/>
                <w:sz w:val="26"/>
                <w:szCs w:val="26"/>
              </w:rPr>
              <w:softHyphen/>
            </w:r>
            <w:r>
              <w:rPr>
                <w:rFonts w:cs="Times New Roman"/>
                <w:sz w:val="26"/>
                <w:szCs w:val="26"/>
              </w:rPr>
              <w:t>сяца, следующего за отчет</w:t>
            </w:r>
            <w:r>
              <w:rPr>
                <w:rFonts w:cs="Times New Roman"/>
                <w:sz w:val="26"/>
                <w:szCs w:val="26"/>
              </w:rPr>
              <w:softHyphen/>
            </w:r>
            <w:r>
              <w:rPr>
                <w:rFonts w:cs="Times New Roman"/>
                <w:sz w:val="26"/>
                <w:szCs w:val="26"/>
              </w:rPr>
              <w:t>ным кварталом</w:t>
            </w:r>
          </w:p>
        </w:tc>
        <w:tc>
          <w:tcPr>
            <w:tcW w:w="1814" w:type="dxa"/>
          </w:tcPr>
          <w:p w14:paraId="1BEE7583">
            <w:pPr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Члены антикоррупционной рабочей группы</w:t>
            </w:r>
          </w:p>
        </w:tc>
        <w:tc>
          <w:tcPr>
            <w:tcW w:w="3969" w:type="dxa"/>
          </w:tcPr>
          <w:p w14:paraId="278E940D">
            <w:pPr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выполнено </w:t>
            </w:r>
          </w:p>
        </w:tc>
      </w:tr>
      <w:tr w14:paraId="780563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051B18C8">
            <w:pPr>
              <w:pStyle w:val="7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521" w:type="dxa"/>
          </w:tcPr>
          <w:p w14:paraId="13F759D1">
            <w:pPr>
              <w:spacing w:after="12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Рассмотрение вопросов реализации антикоррупционной политики (деятельности в сфере противодействия кор</w:t>
            </w:r>
            <w:r>
              <w:rPr>
                <w:rFonts w:cs="Times New Roman"/>
                <w:sz w:val="26"/>
                <w:szCs w:val="26"/>
              </w:rPr>
              <w:softHyphen/>
            </w:r>
            <w:r>
              <w:rPr>
                <w:rFonts w:cs="Times New Roman"/>
                <w:sz w:val="26"/>
                <w:szCs w:val="26"/>
              </w:rPr>
              <w:t xml:space="preserve">рупции) на заседаниях комиссии по противодействию коррупции учреждения  </w:t>
            </w:r>
          </w:p>
        </w:tc>
        <w:tc>
          <w:tcPr>
            <w:tcW w:w="1729" w:type="dxa"/>
          </w:tcPr>
          <w:p w14:paraId="3CE585F3">
            <w:pPr>
              <w:spacing w:after="12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 течение года, по отдельному плану</w:t>
            </w:r>
          </w:p>
        </w:tc>
        <w:tc>
          <w:tcPr>
            <w:tcW w:w="1814" w:type="dxa"/>
          </w:tcPr>
          <w:p w14:paraId="4620161A">
            <w:pPr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Председатель антикоррупционной рабочей группы</w:t>
            </w:r>
          </w:p>
        </w:tc>
        <w:tc>
          <w:tcPr>
            <w:tcW w:w="3969" w:type="dxa"/>
          </w:tcPr>
          <w:p w14:paraId="11216906">
            <w:pPr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выполнено </w:t>
            </w:r>
          </w:p>
        </w:tc>
      </w:tr>
      <w:tr w14:paraId="33F83F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50" w:type="dxa"/>
            <w:gridSpan w:val="5"/>
          </w:tcPr>
          <w:p w14:paraId="76F324F8">
            <w:pPr>
              <w:pStyle w:val="6"/>
              <w:tabs>
                <w:tab w:val="left" w:pos="567"/>
                <w:tab w:val="clear" w:pos="1134"/>
              </w:tabs>
              <w:spacing w:before="120" w:after="200" w:line="240" w:lineRule="auto"/>
              <w:ind w:left="0" w:right="0"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Антикоррупционное просвещение и образование</w:t>
            </w:r>
          </w:p>
        </w:tc>
      </w:tr>
      <w:tr w14:paraId="4CFE69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5999C7EF">
            <w:pPr>
              <w:pStyle w:val="7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521" w:type="dxa"/>
          </w:tcPr>
          <w:p w14:paraId="6B0CAB83">
            <w:pPr>
              <w:spacing w:after="12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Организация антикоррупционного просвещения (семи</w:t>
            </w:r>
            <w:r>
              <w:rPr>
                <w:rFonts w:cs="Times New Roman"/>
                <w:sz w:val="26"/>
                <w:szCs w:val="26"/>
              </w:rPr>
              <w:softHyphen/>
            </w:r>
            <w:r>
              <w:rPr>
                <w:rFonts w:cs="Times New Roman"/>
                <w:sz w:val="26"/>
                <w:szCs w:val="26"/>
              </w:rPr>
              <w:t xml:space="preserve">нары, лекции, круглые столы) сотрудников учреждения </w:t>
            </w:r>
          </w:p>
        </w:tc>
        <w:tc>
          <w:tcPr>
            <w:tcW w:w="1729" w:type="dxa"/>
          </w:tcPr>
          <w:p w14:paraId="0A541F87">
            <w:pPr>
              <w:spacing w:after="12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814" w:type="dxa"/>
          </w:tcPr>
          <w:p w14:paraId="4500E809">
            <w:pPr>
              <w:spacing w:after="20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Заведующий Н.Ю. Антипина</w:t>
            </w:r>
          </w:p>
          <w:p w14:paraId="2078C030">
            <w:pPr>
              <w:spacing w:after="20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Старший воспитатель Г.Н. Дементьева</w:t>
            </w:r>
          </w:p>
          <w:p w14:paraId="5CC84E39">
            <w:pPr>
              <w:spacing w:after="20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Председатель профкома О.В. Головина</w:t>
            </w:r>
          </w:p>
        </w:tc>
        <w:tc>
          <w:tcPr>
            <w:tcW w:w="3969" w:type="dxa"/>
          </w:tcPr>
          <w:p w14:paraId="5C320D2A">
            <w:pPr>
              <w:spacing w:after="20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выполнено  </w:t>
            </w:r>
          </w:p>
        </w:tc>
      </w:tr>
      <w:tr w14:paraId="5AE519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574CA1E2">
            <w:pPr>
              <w:pStyle w:val="7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521" w:type="dxa"/>
          </w:tcPr>
          <w:p w14:paraId="311959E0">
            <w:pPr>
              <w:spacing w:after="12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Организация антикоррупционного образования (повы</w:t>
            </w:r>
            <w:r>
              <w:rPr>
                <w:rFonts w:cs="Times New Roman"/>
                <w:sz w:val="26"/>
                <w:szCs w:val="26"/>
              </w:rPr>
              <w:softHyphen/>
            </w:r>
            <w:r>
              <w:rPr>
                <w:rFonts w:cs="Times New Roman"/>
                <w:sz w:val="26"/>
                <w:szCs w:val="26"/>
              </w:rPr>
              <w:t xml:space="preserve">шение квалификации) сотрудников учреждения </w:t>
            </w:r>
          </w:p>
        </w:tc>
        <w:tc>
          <w:tcPr>
            <w:tcW w:w="1729" w:type="dxa"/>
          </w:tcPr>
          <w:p w14:paraId="74776A86">
            <w:pPr>
              <w:spacing w:after="12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814" w:type="dxa"/>
          </w:tcPr>
          <w:p w14:paraId="3A69798E">
            <w:pPr>
              <w:spacing w:after="20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Заведующий Н.Ю. Антипина</w:t>
            </w:r>
          </w:p>
        </w:tc>
        <w:tc>
          <w:tcPr>
            <w:tcW w:w="3969" w:type="dxa"/>
          </w:tcPr>
          <w:p w14:paraId="23A6952F">
            <w:pPr>
              <w:spacing w:after="20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выполнено</w:t>
            </w:r>
          </w:p>
        </w:tc>
      </w:tr>
      <w:tr w14:paraId="4A80F57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1414E685">
            <w:pPr>
              <w:pStyle w:val="7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521" w:type="dxa"/>
          </w:tcPr>
          <w:p w14:paraId="4F030295">
            <w:pPr>
              <w:spacing w:after="12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Оказание сотрудникам учреждения консультативной, информационной и иной помощи по вопросам, связанным с соблюдением требований к служебному поведению, ограничений и запретов, исполнения обязанностей, установленных в целях противодействия коррупции</w:t>
            </w:r>
          </w:p>
          <w:p w14:paraId="0487AA2D">
            <w:pPr>
              <w:spacing w:after="120"/>
              <w:ind w:firstLine="0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729" w:type="dxa"/>
          </w:tcPr>
          <w:p w14:paraId="0E364D6A">
            <w:pPr>
              <w:spacing w:after="12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814" w:type="dxa"/>
          </w:tcPr>
          <w:p w14:paraId="04D744C6">
            <w:pPr>
              <w:spacing w:after="20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Члены антикоррупционной рабочей группы</w:t>
            </w:r>
          </w:p>
        </w:tc>
        <w:tc>
          <w:tcPr>
            <w:tcW w:w="3969" w:type="dxa"/>
          </w:tcPr>
          <w:p w14:paraId="65771984">
            <w:pPr>
              <w:spacing w:after="20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выполнено</w:t>
            </w:r>
          </w:p>
        </w:tc>
      </w:tr>
      <w:tr w14:paraId="78FBA3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58A9F713">
            <w:pPr>
              <w:pStyle w:val="7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521" w:type="dxa"/>
          </w:tcPr>
          <w:p w14:paraId="3D2D0B47">
            <w:pPr>
              <w:spacing w:after="12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Проведение занятий по вопросам соблюдения законода</w:t>
            </w:r>
            <w:r>
              <w:rPr>
                <w:rFonts w:cs="Times New Roman"/>
                <w:sz w:val="26"/>
                <w:szCs w:val="26"/>
              </w:rPr>
              <w:softHyphen/>
            </w:r>
            <w:r>
              <w:rPr>
                <w:rFonts w:cs="Times New Roman"/>
                <w:sz w:val="26"/>
                <w:szCs w:val="26"/>
              </w:rPr>
              <w:t xml:space="preserve">тельства о противодействии коррупции с вновь принятыми сотрудниками учреждения  </w:t>
            </w:r>
          </w:p>
        </w:tc>
        <w:tc>
          <w:tcPr>
            <w:tcW w:w="1729" w:type="dxa"/>
          </w:tcPr>
          <w:p w14:paraId="0AD93696">
            <w:pPr>
              <w:spacing w:after="12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Ежеквартально</w:t>
            </w:r>
          </w:p>
        </w:tc>
        <w:tc>
          <w:tcPr>
            <w:tcW w:w="1814" w:type="dxa"/>
          </w:tcPr>
          <w:p w14:paraId="1C37F4D1">
            <w:pPr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Заведующий Н.Ю. Антипина</w:t>
            </w:r>
          </w:p>
        </w:tc>
        <w:tc>
          <w:tcPr>
            <w:tcW w:w="3969" w:type="dxa"/>
          </w:tcPr>
          <w:p w14:paraId="39A151AB">
            <w:pPr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выполнено </w:t>
            </w:r>
          </w:p>
        </w:tc>
      </w:tr>
      <w:tr w14:paraId="1C78E2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50" w:type="dxa"/>
            <w:gridSpan w:val="5"/>
          </w:tcPr>
          <w:p w14:paraId="3A6A9896">
            <w:pPr>
              <w:pStyle w:val="6"/>
              <w:tabs>
                <w:tab w:val="left" w:pos="567"/>
                <w:tab w:val="clear" w:pos="1134"/>
              </w:tabs>
              <w:spacing w:before="120" w:after="200" w:line="240" w:lineRule="auto"/>
              <w:ind w:left="0" w:right="0"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Антикоррупционная пропаганда</w:t>
            </w:r>
          </w:p>
        </w:tc>
      </w:tr>
      <w:tr w14:paraId="1C9F0E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0725C61E">
            <w:pPr>
              <w:pStyle w:val="7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521" w:type="dxa"/>
          </w:tcPr>
          <w:p w14:paraId="0057BD28">
            <w:pPr>
              <w:spacing w:after="12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Подготовка и размещение на официальном сайте учреждения информационных материалов по вопросам противодействия коррупции</w:t>
            </w:r>
          </w:p>
        </w:tc>
        <w:tc>
          <w:tcPr>
            <w:tcW w:w="1729" w:type="dxa"/>
          </w:tcPr>
          <w:p w14:paraId="3EF4C010">
            <w:pPr>
              <w:spacing w:after="12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814" w:type="dxa"/>
          </w:tcPr>
          <w:p w14:paraId="2C526F45">
            <w:pPr>
              <w:spacing w:after="20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Ответственный за ведение сайта ДОУ Е.В. Шапорева</w:t>
            </w:r>
          </w:p>
        </w:tc>
        <w:tc>
          <w:tcPr>
            <w:tcW w:w="3969" w:type="dxa"/>
          </w:tcPr>
          <w:p w14:paraId="7BD27A8D">
            <w:pPr>
              <w:spacing w:after="20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выполнено</w:t>
            </w:r>
          </w:p>
        </w:tc>
      </w:tr>
      <w:tr w14:paraId="663CE8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3D80E783">
            <w:pPr>
              <w:pStyle w:val="7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521" w:type="dxa"/>
          </w:tcPr>
          <w:p w14:paraId="0B583907">
            <w:pPr>
              <w:spacing w:after="12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Размещение и актуализация в помещениях учреждения информационных и просветительских материалов по вопросам формирования антикоррупционного поведения сотрудников учреждения и граждан </w:t>
            </w:r>
          </w:p>
        </w:tc>
        <w:tc>
          <w:tcPr>
            <w:tcW w:w="1729" w:type="dxa"/>
          </w:tcPr>
          <w:p w14:paraId="508AA04B">
            <w:pPr>
              <w:spacing w:after="12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814" w:type="dxa"/>
          </w:tcPr>
          <w:p w14:paraId="6D74F806">
            <w:pPr>
              <w:spacing w:after="20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Заведующий Н.Ю. Антипина</w:t>
            </w:r>
          </w:p>
          <w:p w14:paraId="46C15FA8">
            <w:pPr>
              <w:spacing w:after="20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Заведующий хозяйством Ю.В Каберова</w:t>
            </w:r>
          </w:p>
        </w:tc>
        <w:tc>
          <w:tcPr>
            <w:tcW w:w="3969" w:type="dxa"/>
          </w:tcPr>
          <w:p w14:paraId="7DB9EA14">
            <w:pPr>
              <w:spacing w:after="20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выполнено</w:t>
            </w:r>
          </w:p>
        </w:tc>
      </w:tr>
      <w:tr w14:paraId="4997EB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50" w:type="dxa"/>
            <w:gridSpan w:val="5"/>
          </w:tcPr>
          <w:p w14:paraId="17003978">
            <w:pPr>
              <w:pStyle w:val="6"/>
              <w:tabs>
                <w:tab w:val="left" w:pos="567"/>
                <w:tab w:val="clear" w:pos="1134"/>
              </w:tabs>
              <w:spacing w:before="120" w:after="200" w:line="240" w:lineRule="auto"/>
              <w:ind w:left="0" w:right="0" w:firstLine="0"/>
              <w:rPr>
                <w:sz w:val="26"/>
                <w:szCs w:val="26"/>
              </w:rPr>
            </w:pPr>
            <w:bookmarkStart w:id="0" w:name="_Toc419969127"/>
            <w:r>
              <w:rPr>
                <w:kern w:val="28"/>
                <w:sz w:val="26"/>
                <w:szCs w:val="26"/>
              </w:rPr>
              <w:t>Взаимодействие с правоохранительными органами, органами государственной власти Ярославской области, органами местного самоуправления муниципальных образований Ярославской области, общественными объединениями</w:t>
            </w:r>
            <w:r>
              <w:rPr>
                <w:sz w:val="26"/>
                <w:szCs w:val="26"/>
              </w:rPr>
              <w:t xml:space="preserve">             </w:t>
            </w:r>
            <w:r>
              <w:rPr>
                <w:kern w:val="28"/>
                <w:sz w:val="26"/>
                <w:szCs w:val="26"/>
              </w:rPr>
              <w:t xml:space="preserve">       и иными организациями в целях противодействия коррупции</w:t>
            </w:r>
            <w:bookmarkEnd w:id="0"/>
          </w:p>
        </w:tc>
      </w:tr>
      <w:tr w14:paraId="326582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186C5B55">
            <w:pPr>
              <w:pStyle w:val="7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521" w:type="dxa"/>
          </w:tcPr>
          <w:p w14:paraId="51EA77EB">
            <w:pPr>
              <w:spacing w:after="12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Организация взаимодействия с правоохранительными органами, органами прокуратуры и юстиции, территориальными органами федеральных органов ис</w:t>
            </w:r>
            <w:r>
              <w:rPr>
                <w:rFonts w:cs="Times New Roman"/>
                <w:sz w:val="26"/>
                <w:szCs w:val="26"/>
              </w:rPr>
              <w:softHyphen/>
            </w:r>
            <w:r>
              <w:rPr>
                <w:rFonts w:cs="Times New Roman"/>
                <w:sz w:val="26"/>
                <w:szCs w:val="26"/>
              </w:rPr>
              <w:t>полнительной власти по Ярославской области по вопро</w:t>
            </w:r>
            <w:r>
              <w:rPr>
                <w:rFonts w:cs="Times New Roman"/>
                <w:sz w:val="26"/>
                <w:szCs w:val="26"/>
              </w:rPr>
              <w:softHyphen/>
            </w:r>
            <w:r>
              <w:rPr>
                <w:rFonts w:cs="Times New Roman"/>
                <w:sz w:val="26"/>
                <w:szCs w:val="26"/>
              </w:rPr>
              <w:t>сам противодействия коррупции, в том числе несоблю</w:t>
            </w:r>
            <w:r>
              <w:rPr>
                <w:rFonts w:cs="Times New Roman"/>
                <w:sz w:val="26"/>
                <w:szCs w:val="26"/>
              </w:rPr>
              <w:softHyphen/>
            </w:r>
            <w:r>
              <w:rPr>
                <w:rFonts w:cs="Times New Roman"/>
                <w:sz w:val="26"/>
                <w:szCs w:val="26"/>
              </w:rPr>
              <w:t>дения сотрудниками учреждения ограничений и запретов, требований о предотвращении или об урегулировании конфликта интересов либо неисполне</w:t>
            </w:r>
            <w:r>
              <w:rPr>
                <w:rFonts w:cs="Times New Roman"/>
                <w:sz w:val="26"/>
                <w:szCs w:val="26"/>
              </w:rPr>
              <w:softHyphen/>
            </w:r>
            <w:r>
              <w:rPr>
                <w:rFonts w:cs="Times New Roman"/>
                <w:sz w:val="26"/>
                <w:szCs w:val="26"/>
              </w:rPr>
              <w:t>ния обязанностей, установленных в целях противодей</w:t>
            </w:r>
            <w:r>
              <w:rPr>
                <w:rFonts w:cs="Times New Roman"/>
                <w:sz w:val="26"/>
                <w:szCs w:val="26"/>
              </w:rPr>
              <w:softHyphen/>
            </w:r>
            <w:r>
              <w:rPr>
                <w:rFonts w:cs="Times New Roman"/>
                <w:sz w:val="26"/>
                <w:szCs w:val="26"/>
              </w:rPr>
              <w:t>ствия коррупции</w:t>
            </w:r>
          </w:p>
        </w:tc>
        <w:tc>
          <w:tcPr>
            <w:tcW w:w="1729" w:type="dxa"/>
          </w:tcPr>
          <w:p w14:paraId="556DE0A7">
            <w:pPr>
              <w:spacing w:after="12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814" w:type="dxa"/>
          </w:tcPr>
          <w:p w14:paraId="667D7A19">
            <w:pPr>
              <w:spacing w:after="20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Заведующий Н.Ю. Антипина</w:t>
            </w:r>
          </w:p>
        </w:tc>
        <w:tc>
          <w:tcPr>
            <w:tcW w:w="3969" w:type="dxa"/>
          </w:tcPr>
          <w:p w14:paraId="1870A4FD">
            <w:pPr>
              <w:spacing w:after="20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Обеспечение координации дея</w:t>
            </w:r>
            <w:r>
              <w:rPr>
                <w:rFonts w:cs="Times New Roman"/>
                <w:sz w:val="26"/>
                <w:szCs w:val="26"/>
              </w:rPr>
              <w:softHyphen/>
            </w:r>
            <w:r>
              <w:rPr>
                <w:rFonts w:cs="Times New Roman"/>
                <w:sz w:val="26"/>
                <w:szCs w:val="26"/>
              </w:rPr>
              <w:t>тельности по противодействию коррупции</w:t>
            </w:r>
          </w:p>
        </w:tc>
      </w:tr>
      <w:tr w14:paraId="36D9A2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6F9B5352">
            <w:pPr>
              <w:pStyle w:val="7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521" w:type="dxa"/>
          </w:tcPr>
          <w:p w14:paraId="4AC6AAE6">
            <w:pPr>
              <w:spacing w:after="12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Рассмотрение обращений граждан и организаций, со</w:t>
            </w:r>
            <w:r>
              <w:rPr>
                <w:rFonts w:cs="Times New Roman"/>
                <w:sz w:val="26"/>
                <w:szCs w:val="26"/>
              </w:rPr>
              <w:softHyphen/>
            </w:r>
            <w:r>
              <w:rPr>
                <w:rFonts w:cs="Times New Roman"/>
                <w:sz w:val="26"/>
                <w:szCs w:val="26"/>
              </w:rPr>
              <w:t>держащих информацию о фактах коррупции, посту</w:t>
            </w:r>
            <w:r>
              <w:rPr>
                <w:rFonts w:cs="Times New Roman"/>
                <w:sz w:val="26"/>
                <w:szCs w:val="26"/>
              </w:rPr>
              <w:softHyphen/>
            </w:r>
            <w:r>
              <w:rPr>
                <w:rFonts w:cs="Times New Roman"/>
                <w:sz w:val="26"/>
                <w:szCs w:val="26"/>
              </w:rPr>
              <w:t>пивших на электронный почтовый ящик, на «телефон доверия»</w:t>
            </w:r>
          </w:p>
        </w:tc>
        <w:tc>
          <w:tcPr>
            <w:tcW w:w="1729" w:type="dxa"/>
          </w:tcPr>
          <w:p w14:paraId="20E51A1E">
            <w:pPr>
              <w:spacing w:after="12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По мере поступления обращений</w:t>
            </w:r>
          </w:p>
        </w:tc>
        <w:tc>
          <w:tcPr>
            <w:tcW w:w="1814" w:type="dxa"/>
          </w:tcPr>
          <w:p w14:paraId="29E8FF26">
            <w:pPr>
              <w:spacing w:after="20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Члены антикоррупционной рабочей группы</w:t>
            </w:r>
          </w:p>
        </w:tc>
        <w:tc>
          <w:tcPr>
            <w:tcW w:w="3969" w:type="dxa"/>
          </w:tcPr>
          <w:p w14:paraId="7E80C93A">
            <w:pPr>
              <w:spacing w:after="20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Обращений не зафиксировано</w:t>
            </w:r>
          </w:p>
        </w:tc>
      </w:tr>
      <w:tr w14:paraId="37A8DC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29158F16">
            <w:pPr>
              <w:pStyle w:val="7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521" w:type="dxa"/>
          </w:tcPr>
          <w:p w14:paraId="3F82D549">
            <w:pPr>
              <w:spacing w:after="12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Проведение анализа публикаций в СМИ, обращений граждан и организаций, поступивших на «телефон доверия» по вопросам противодействия коррупции, на предмет содержания  информации о фактах проявления коррупции, с целью принятия мер по их устранению и предотвращению</w:t>
            </w:r>
          </w:p>
        </w:tc>
        <w:tc>
          <w:tcPr>
            <w:tcW w:w="1729" w:type="dxa"/>
          </w:tcPr>
          <w:p w14:paraId="67AA5D52">
            <w:pPr>
              <w:spacing w:after="12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Ежеквартально, </w:t>
            </w:r>
            <w:r>
              <w:rPr>
                <w:rFonts w:cs="Times New Roman"/>
                <w:sz w:val="26"/>
                <w:szCs w:val="26"/>
              </w:rPr>
              <w:br w:type="textWrapping"/>
            </w:r>
            <w:r>
              <w:rPr>
                <w:rFonts w:cs="Times New Roman"/>
                <w:sz w:val="26"/>
                <w:szCs w:val="26"/>
              </w:rPr>
              <w:t>до 20 числа месяца, следующего за отчетным периодом</w:t>
            </w:r>
          </w:p>
        </w:tc>
        <w:tc>
          <w:tcPr>
            <w:tcW w:w="1814" w:type="dxa"/>
          </w:tcPr>
          <w:p w14:paraId="08165B86">
            <w:pPr>
              <w:spacing w:after="20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Председатель антикоррупционной рабочей группы</w:t>
            </w:r>
          </w:p>
        </w:tc>
        <w:tc>
          <w:tcPr>
            <w:tcW w:w="3969" w:type="dxa"/>
          </w:tcPr>
          <w:p w14:paraId="3E4DC633">
            <w:pPr>
              <w:spacing w:after="20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выполнено</w:t>
            </w:r>
          </w:p>
        </w:tc>
      </w:tr>
      <w:tr w14:paraId="1C2C9A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50" w:type="dxa"/>
            <w:gridSpan w:val="5"/>
          </w:tcPr>
          <w:p w14:paraId="1B08A9B8">
            <w:pPr>
              <w:pStyle w:val="6"/>
              <w:tabs>
                <w:tab w:val="left" w:pos="567"/>
                <w:tab w:val="clear" w:pos="1134"/>
              </w:tabs>
              <w:spacing w:before="120" w:after="200" w:line="240" w:lineRule="auto"/>
              <w:ind w:left="0" w:right="0"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Иные меры по противодействию коррупции</w:t>
            </w:r>
          </w:p>
        </w:tc>
      </w:tr>
      <w:tr w14:paraId="0619F2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2D62BC2A">
            <w:pPr>
              <w:pStyle w:val="7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521" w:type="dxa"/>
          </w:tcPr>
          <w:p w14:paraId="1ABA89DE">
            <w:pPr>
              <w:spacing w:after="12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Обеспечение своевременного внесения изменений в нормативные правовые акты в связи с изменениями зако</w:t>
            </w:r>
            <w:r>
              <w:rPr>
                <w:rFonts w:cs="Times New Roman"/>
                <w:sz w:val="26"/>
                <w:szCs w:val="26"/>
              </w:rPr>
              <w:softHyphen/>
            </w:r>
            <w:r>
              <w:rPr>
                <w:rFonts w:cs="Times New Roman"/>
                <w:sz w:val="26"/>
                <w:szCs w:val="26"/>
              </w:rPr>
              <w:t>нодательства о противодействии коррупции.</w:t>
            </w:r>
          </w:p>
        </w:tc>
        <w:tc>
          <w:tcPr>
            <w:tcW w:w="1729" w:type="dxa"/>
          </w:tcPr>
          <w:p w14:paraId="3E9E69DD">
            <w:pPr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 течение года по мере необ</w:t>
            </w:r>
            <w:r>
              <w:rPr>
                <w:rFonts w:cs="Times New Roman"/>
                <w:sz w:val="26"/>
                <w:szCs w:val="26"/>
              </w:rPr>
              <w:softHyphen/>
            </w:r>
            <w:r>
              <w:rPr>
                <w:rFonts w:cs="Times New Roman"/>
                <w:sz w:val="26"/>
                <w:szCs w:val="26"/>
              </w:rPr>
              <w:t>ходимости</w:t>
            </w:r>
          </w:p>
        </w:tc>
        <w:tc>
          <w:tcPr>
            <w:tcW w:w="1814" w:type="dxa"/>
          </w:tcPr>
          <w:p w14:paraId="4C178309">
            <w:pPr>
              <w:spacing w:after="20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Заведующий Н.Ю. Антипина</w:t>
            </w:r>
          </w:p>
        </w:tc>
        <w:tc>
          <w:tcPr>
            <w:tcW w:w="3969" w:type="dxa"/>
          </w:tcPr>
          <w:p w14:paraId="7C2E62A7">
            <w:pPr>
              <w:spacing w:after="20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выполнено</w:t>
            </w:r>
          </w:p>
        </w:tc>
      </w:tr>
      <w:tr w14:paraId="0706FA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22043B82">
            <w:pPr>
              <w:pStyle w:val="7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521" w:type="dxa"/>
          </w:tcPr>
          <w:p w14:paraId="4D011549">
            <w:pPr>
              <w:spacing w:after="12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Обеспечение разработки и утверждения планов проти</w:t>
            </w:r>
            <w:r>
              <w:rPr>
                <w:rFonts w:cs="Times New Roman"/>
                <w:sz w:val="26"/>
                <w:szCs w:val="26"/>
              </w:rPr>
              <w:softHyphen/>
            </w:r>
            <w:r>
              <w:rPr>
                <w:rFonts w:cs="Times New Roman"/>
                <w:sz w:val="26"/>
                <w:szCs w:val="26"/>
              </w:rPr>
              <w:t xml:space="preserve">водействия коррупции на следующий календарный год </w:t>
            </w:r>
          </w:p>
        </w:tc>
        <w:tc>
          <w:tcPr>
            <w:tcW w:w="1729" w:type="dxa"/>
          </w:tcPr>
          <w:p w14:paraId="1A480032">
            <w:pPr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Ежегодно, </w:t>
            </w:r>
            <w:r>
              <w:rPr>
                <w:rFonts w:cs="Times New Roman"/>
                <w:sz w:val="26"/>
                <w:szCs w:val="26"/>
              </w:rPr>
              <w:br w:type="textWrapping"/>
            </w:r>
            <w:r>
              <w:rPr>
                <w:rFonts w:cs="Times New Roman"/>
                <w:sz w:val="26"/>
                <w:szCs w:val="26"/>
              </w:rPr>
              <w:t>до 20 декабря</w:t>
            </w:r>
          </w:p>
        </w:tc>
        <w:tc>
          <w:tcPr>
            <w:tcW w:w="1814" w:type="dxa"/>
          </w:tcPr>
          <w:p w14:paraId="0E2925CE">
            <w:pPr>
              <w:spacing w:after="20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Антикоррупционная рабочая группа</w:t>
            </w:r>
          </w:p>
        </w:tc>
        <w:tc>
          <w:tcPr>
            <w:tcW w:w="3969" w:type="dxa"/>
          </w:tcPr>
          <w:p w14:paraId="6BAA5F4F">
            <w:pPr>
              <w:spacing w:after="20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выполнено</w:t>
            </w:r>
          </w:p>
        </w:tc>
      </w:tr>
      <w:tr w14:paraId="4A7D80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0F342557">
            <w:pPr>
              <w:pStyle w:val="7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521" w:type="dxa"/>
          </w:tcPr>
          <w:p w14:paraId="3C3F680A">
            <w:pPr>
              <w:spacing w:after="12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Профилактика коррупции при осуществлении закупок товаров, работ, услуг для государственных нужд</w:t>
            </w:r>
          </w:p>
        </w:tc>
        <w:tc>
          <w:tcPr>
            <w:tcW w:w="1729" w:type="dxa"/>
          </w:tcPr>
          <w:p w14:paraId="6AE8383B">
            <w:pPr>
              <w:spacing w:after="12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814" w:type="dxa"/>
          </w:tcPr>
          <w:p w14:paraId="005D0206">
            <w:pPr>
              <w:spacing w:after="200"/>
              <w:ind w:firstLine="0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Заведующий Н.Ю. Антипина</w:t>
            </w:r>
          </w:p>
        </w:tc>
        <w:tc>
          <w:tcPr>
            <w:tcW w:w="3969" w:type="dxa"/>
          </w:tcPr>
          <w:p w14:paraId="233CBEB3">
            <w:pPr>
              <w:spacing w:after="200"/>
              <w:ind w:firstLine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выполнено</w:t>
            </w:r>
          </w:p>
        </w:tc>
      </w:tr>
    </w:tbl>
    <w:p w14:paraId="67F4B278">
      <w:pPr>
        <w:ind w:right="113"/>
        <w:jc w:val="both"/>
        <w:rPr>
          <w:rFonts w:cs="Times New Roman"/>
          <w:szCs w:val="28"/>
        </w:rPr>
      </w:pPr>
    </w:p>
    <w:p w14:paraId="77DD25E4">
      <w:pPr>
        <w:ind w:right="113"/>
        <w:jc w:val="both"/>
        <w:rPr>
          <w:rFonts w:cs="Times New Roman"/>
          <w:szCs w:val="28"/>
        </w:rPr>
      </w:pPr>
    </w:p>
    <w:p w14:paraId="4C0FDE81">
      <w:pPr>
        <w:ind w:right="113"/>
        <w:jc w:val="both"/>
        <w:rPr>
          <w:rFonts w:cs="Times New Roman"/>
          <w:szCs w:val="28"/>
        </w:rPr>
      </w:pPr>
    </w:p>
    <w:p w14:paraId="47A2BBA9">
      <w:pPr>
        <w:ind w:right="113"/>
        <w:jc w:val="both"/>
        <w:rPr>
          <w:rFonts w:cs="Times New Roman"/>
          <w:szCs w:val="28"/>
        </w:rPr>
      </w:pPr>
    </w:p>
    <w:p w14:paraId="33B2BD71">
      <w:pPr>
        <w:ind w:right="113"/>
        <w:jc w:val="both"/>
        <w:rPr>
          <w:rFonts w:cs="Times New Roman"/>
          <w:szCs w:val="28"/>
        </w:rPr>
      </w:pPr>
    </w:p>
    <w:p w14:paraId="2E1B9CF8">
      <w:pPr>
        <w:ind w:right="113"/>
        <w:jc w:val="both"/>
        <w:rPr>
          <w:rFonts w:cs="Times New Roman"/>
          <w:szCs w:val="28"/>
        </w:rPr>
      </w:pPr>
    </w:p>
    <w:p w14:paraId="16F7BD80">
      <w:pPr>
        <w:ind w:right="113"/>
        <w:jc w:val="both"/>
        <w:rPr>
          <w:rFonts w:cs="Times New Roman"/>
          <w:szCs w:val="28"/>
        </w:rPr>
      </w:pPr>
    </w:p>
    <w:p w14:paraId="6C6D111A"/>
    <w:sectPr>
      <w:pgSz w:w="16838" w:h="11906" w:orient="landscape"/>
      <w:pgMar w:top="1701" w:right="1134" w:bottom="850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5587336"/>
    <w:multiLevelType w:val="multilevel"/>
    <w:tmpl w:val="45587336"/>
    <w:lvl w:ilvl="0" w:tentative="0">
      <w:start w:val="1"/>
      <w:numFmt w:val="decimal"/>
      <w:pStyle w:val="6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decimal"/>
      <w:pStyle w:val="7"/>
      <w:lvlText w:val="%1.%2."/>
      <w:lvlJc w:val="left"/>
      <w:pPr>
        <w:ind w:left="716" w:hanging="432"/>
      </w:pPr>
      <w:rPr>
        <w:rFonts w:hint="default"/>
      </w:rPr>
    </w:lvl>
    <w:lvl w:ilvl="2" w:tentative="0">
      <w:start w:val="1"/>
      <w:numFmt w:val="decimal"/>
      <w:pStyle w:val="8"/>
      <w:lvlText w:val="%1.%2.%3."/>
      <w:lvlJc w:val="left"/>
      <w:pPr>
        <w:ind w:left="504" w:hanging="504"/>
      </w:pPr>
      <w:rPr>
        <w:rFonts w:hint="default"/>
        <w:b w:val="0"/>
      </w:rPr>
    </w:lvl>
    <w:lvl w:ilvl="3" w:tentative="0">
      <w:start w:val="1"/>
      <w:numFmt w:val="decimal"/>
      <w:pStyle w:val="9"/>
      <w:lvlText w:val="%1.%2.%3.%4."/>
      <w:lvlJc w:val="left"/>
      <w:pPr>
        <w:ind w:left="1728" w:hanging="648"/>
      </w:pPr>
      <w:rPr>
        <w:rFonts w:hint="default"/>
        <w:b w:val="0"/>
      </w:rPr>
    </w:lvl>
    <w:lvl w:ilvl="4" w:tentative="0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3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D2F"/>
    <w:rsid w:val="00251F21"/>
    <w:rsid w:val="00324E74"/>
    <w:rsid w:val="003C4D33"/>
    <w:rsid w:val="00584B7B"/>
    <w:rsid w:val="005C140A"/>
    <w:rsid w:val="005E5437"/>
    <w:rsid w:val="00737005"/>
    <w:rsid w:val="007B2D1C"/>
    <w:rsid w:val="008605BD"/>
    <w:rsid w:val="00A103AA"/>
    <w:rsid w:val="00AE1D2F"/>
    <w:rsid w:val="00BA6CE5"/>
    <w:rsid w:val="00BB7B4B"/>
    <w:rsid w:val="00C53EDA"/>
    <w:rsid w:val="00C62EE0"/>
    <w:rsid w:val="00DC4DD1"/>
    <w:rsid w:val="00E429B3"/>
    <w:rsid w:val="00E472CD"/>
    <w:rsid w:val="00E56D59"/>
    <w:rsid w:val="00EC5200"/>
    <w:rsid w:val="00FE7EA1"/>
    <w:rsid w:val="00FF2F02"/>
    <w:rsid w:val="61666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0" w:line="240" w:lineRule="auto"/>
      <w:ind w:firstLine="709"/>
    </w:pPr>
    <w:rPr>
      <w:rFonts w:ascii="Times New Roman" w:hAnsi="Times New Roman" w:eastAsia="Times New Roman" w:cs="Calibri"/>
      <w:sz w:val="28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0"/>
    <w:semiHidden/>
    <w:unhideWhenUsed/>
    <w:qFormat/>
    <w:uiPriority w:val="99"/>
    <w:rPr>
      <w:rFonts w:ascii="Segoe UI" w:hAnsi="Segoe UI" w:cs="Segoe UI"/>
      <w:sz w:val="18"/>
      <w:szCs w:val="18"/>
    </w:rPr>
  </w:style>
  <w:style w:type="table" w:styleId="5">
    <w:name w:val="Table Grid"/>
    <w:basedOn w:val="3"/>
    <w:qFormat/>
    <w:uiPriority w:val="0"/>
    <w:pPr>
      <w:spacing w:after="0" w:line="240" w:lineRule="auto"/>
    </w:pPr>
    <w:rPr>
      <w:rFonts w:ascii="Calibri" w:hAnsi="Calibri" w:eastAsia="Times New Roman" w:cs="Calibri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customStyle="1" w:styleId="6">
    <w:name w:val="_Заголовок1"/>
    <w:basedOn w:val="1"/>
    <w:qFormat/>
    <w:uiPriority w:val="0"/>
    <w:pPr>
      <w:keepNext/>
      <w:keepLines/>
      <w:numPr>
        <w:ilvl w:val="0"/>
        <w:numId w:val="1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cs="Times New Roman" w:eastAsiaTheme="minorHAnsi"/>
      <w:b/>
      <w:szCs w:val="28"/>
    </w:rPr>
  </w:style>
  <w:style w:type="paragraph" w:customStyle="1" w:styleId="7">
    <w:name w:val="_Заголовок2"/>
    <w:basedOn w:val="6"/>
    <w:qFormat/>
    <w:uiPriority w:val="0"/>
    <w:pPr>
      <w:numPr>
        <w:ilvl w:val="1"/>
      </w:numPr>
      <w:spacing w:before="240" w:after="120"/>
      <w:outlineLvl w:val="1"/>
    </w:pPr>
  </w:style>
  <w:style w:type="paragraph" w:customStyle="1" w:styleId="8">
    <w:name w:val="_Заголовок3"/>
    <w:basedOn w:val="7"/>
    <w:qFormat/>
    <w:uiPriority w:val="0"/>
    <w:pPr>
      <w:numPr>
        <w:ilvl w:val="2"/>
      </w:numPr>
      <w:spacing w:before="120" w:after="80"/>
      <w:outlineLvl w:val="2"/>
    </w:pPr>
  </w:style>
  <w:style w:type="paragraph" w:customStyle="1" w:styleId="9">
    <w:name w:val="_Заголовок4"/>
    <w:basedOn w:val="8"/>
    <w:qFormat/>
    <w:uiPriority w:val="0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character" w:customStyle="1" w:styleId="10">
    <w:name w:val="Текст выноски Знак"/>
    <w:basedOn w:val="2"/>
    <w:link w:val="4"/>
    <w:semiHidden/>
    <w:qFormat/>
    <w:uiPriority w:val="99"/>
    <w:rPr>
      <w:rFonts w:ascii="Segoe UI" w:hAnsi="Segoe UI" w:eastAsia="Times New Roman" w:cs="Segoe U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1127</Words>
  <Characters>6427</Characters>
  <Lines>53</Lines>
  <Paragraphs>15</Paragraphs>
  <TotalTime>123</TotalTime>
  <ScaleCrop>false</ScaleCrop>
  <LinksUpToDate>false</LinksUpToDate>
  <CharactersWithSpaces>7539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2018-06-28T07:41:00Z</dcterms:created>
  <dc:creator>Наталья Антипина</dc:creator>
  <cp:lastModifiedBy>Office</cp:lastModifiedBy>
  <cp:lastPrinted>2019-04-05T06:35:00Z</cp:lastPrinted>
  <dcterms:modified xsi:type="dcterms:W3CDTF">2025-02-12T11:56:04Z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7A754CC841CD44658D75B7B6BA1FFD1E_12</vt:lpwstr>
  </property>
</Properties>
</file>