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6B" w:rsidRDefault="00933B6B" w:rsidP="00933B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Аналитический отчет</w:t>
      </w:r>
    </w:p>
    <w:p w:rsidR="008B271A" w:rsidRDefault="00933B6B" w:rsidP="00933B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педагогической деятельности детского сада за 2013/14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933B6B" w:rsidRDefault="00933B6B" w:rsidP="00933B6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B6B" w:rsidRPr="00550683" w:rsidRDefault="00933B6B" w:rsidP="00933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33B6B">
        <w:rPr>
          <w:rFonts w:ascii="Times New Roman" w:hAnsi="Times New Roman" w:cs="Times New Roman"/>
          <w:i/>
          <w:sz w:val="24"/>
          <w:u w:val="single"/>
        </w:rPr>
        <w:t>Результаты выполнения программы</w:t>
      </w: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550683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550683" w:rsidRDefault="00B95251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деятельность детского сада строилась в соответствии с федеральными государственными требованиями. </w:t>
      </w:r>
      <w:r w:rsidR="00550683">
        <w:rPr>
          <w:rFonts w:ascii="Times New Roman" w:hAnsi="Times New Roman" w:cs="Times New Roman"/>
          <w:sz w:val="24"/>
        </w:rPr>
        <w:t>Мониторинг результатов освоения программы проводился по 10 образовательным областям по адаптированной методике Верещагиной Н.В.</w:t>
      </w:r>
    </w:p>
    <w:p w:rsidR="00C46348" w:rsidRDefault="00C46348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обследовании приняло участие 93 ребенка, что составляет 86% от общего количества детей.</w:t>
      </w:r>
      <w:r w:rsidR="003455CB">
        <w:rPr>
          <w:rFonts w:ascii="Times New Roman" w:hAnsi="Times New Roman" w:cs="Times New Roman"/>
          <w:sz w:val="24"/>
        </w:rPr>
        <w:t xml:space="preserve"> По причине отсутствия музыкального руководителя мониторинг образовательной области «Музыка» не осуществлялся.</w:t>
      </w:r>
    </w:p>
    <w:p w:rsidR="00C46348" w:rsidRDefault="00C46348" w:rsidP="00C4634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6348">
        <w:rPr>
          <w:rFonts w:ascii="Times New Roman" w:hAnsi="Times New Roman" w:cs="Times New Roman"/>
          <w:sz w:val="24"/>
          <w:u w:val="single"/>
        </w:rPr>
        <w:t>Освоение программы.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550683" w:rsidRDefault="00E02A7F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усвоен</w:t>
      </w:r>
      <w:r w:rsidR="003B00A7">
        <w:rPr>
          <w:rFonts w:ascii="Times New Roman" w:hAnsi="Times New Roman" w:cs="Times New Roman"/>
          <w:sz w:val="24"/>
        </w:rPr>
        <w:t>ия программы в целом составил 90%, это на 0</w:t>
      </w:r>
      <w:r>
        <w:rPr>
          <w:rFonts w:ascii="Times New Roman" w:hAnsi="Times New Roman" w:cs="Times New Roman"/>
          <w:sz w:val="24"/>
        </w:rPr>
        <w:t>,8% ниже показателей прошлого учебного года. Отмечается положительная динамика в развитии детей по сравнению с началом учебного года.</w:t>
      </w:r>
    </w:p>
    <w:p w:rsidR="00E02A7F" w:rsidRDefault="00E02A7F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7D1A95" w:rsidRDefault="00E02A7F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FDD2DDA" wp14:editId="61758B91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1A95" w:rsidRDefault="007D1A95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F46DDC" w:rsidRDefault="007D1A95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освоения программы по возрастным категориям представлен в диаграмме</w:t>
      </w:r>
    </w:p>
    <w:p w:rsidR="007D1A95" w:rsidRDefault="007D1A95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9958507" wp14:editId="2FE60A2F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2A7F" w:rsidRDefault="00E02A7F" w:rsidP="0055068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E02A7F" w:rsidRDefault="00C46348" w:rsidP="00C4634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Освоение программы по образовательным областям. </w:t>
      </w:r>
    </w:p>
    <w:p w:rsidR="00C46348" w:rsidRDefault="008301E0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1DFB5C4" wp14:editId="77DCA3CA">
            <wp:extent cx="4552950" cy="4162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1F9E" w:rsidRDefault="00231F9E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231F9E" w:rsidRDefault="00B95251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связи с введением ФГОС ДО с 01.01.2013 результативность освоения детьми программы была оценена и по пяти образовательным областям, прописанных в стандартах образования: социально-коммуникативное развитие (</w:t>
      </w:r>
      <w:proofErr w:type="spellStart"/>
      <w:r>
        <w:rPr>
          <w:rFonts w:ascii="Times New Roman" w:hAnsi="Times New Roman" w:cs="Times New Roman"/>
          <w:sz w:val="24"/>
        </w:rPr>
        <w:t>социализация+безопасность+труд</w:t>
      </w:r>
      <w:proofErr w:type="spellEnd"/>
      <w:r>
        <w:rPr>
          <w:rFonts w:ascii="Times New Roman" w:hAnsi="Times New Roman" w:cs="Times New Roman"/>
          <w:sz w:val="24"/>
        </w:rPr>
        <w:t>), познание</w:t>
      </w:r>
      <w:r w:rsidR="003455CB">
        <w:rPr>
          <w:rFonts w:ascii="Times New Roman" w:hAnsi="Times New Roman" w:cs="Times New Roman"/>
          <w:sz w:val="24"/>
        </w:rPr>
        <w:t xml:space="preserve"> (познание)</w:t>
      </w:r>
      <w:r>
        <w:rPr>
          <w:rFonts w:ascii="Times New Roman" w:hAnsi="Times New Roman" w:cs="Times New Roman"/>
          <w:sz w:val="24"/>
        </w:rPr>
        <w:t>, развитие речи (</w:t>
      </w:r>
      <w:proofErr w:type="spellStart"/>
      <w:r>
        <w:rPr>
          <w:rFonts w:ascii="Times New Roman" w:hAnsi="Times New Roman" w:cs="Times New Roman"/>
          <w:sz w:val="24"/>
        </w:rPr>
        <w:t>коммуникация+чтение</w:t>
      </w:r>
      <w:proofErr w:type="spellEnd"/>
      <w:r>
        <w:rPr>
          <w:rFonts w:ascii="Times New Roman" w:hAnsi="Times New Roman" w:cs="Times New Roman"/>
          <w:sz w:val="24"/>
        </w:rPr>
        <w:t xml:space="preserve"> художественной литературы), физическое развитие (</w:t>
      </w:r>
      <w:proofErr w:type="spellStart"/>
      <w:r>
        <w:rPr>
          <w:rFonts w:ascii="Times New Roman" w:hAnsi="Times New Roman" w:cs="Times New Roman"/>
          <w:sz w:val="24"/>
        </w:rPr>
        <w:t>физкультура+здоровье</w:t>
      </w:r>
      <w:proofErr w:type="spellEnd"/>
      <w:r>
        <w:rPr>
          <w:rFonts w:ascii="Times New Roman" w:hAnsi="Times New Roman" w:cs="Times New Roman"/>
          <w:sz w:val="24"/>
        </w:rPr>
        <w:t>), художественно-эстетическое развитие (</w:t>
      </w:r>
      <w:r w:rsidR="003455CB">
        <w:rPr>
          <w:rFonts w:ascii="Times New Roman" w:hAnsi="Times New Roman" w:cs="Times New Roman"/>
          <w:sz w:val="24"/>
        </w:rPr>
        <w:t xml:space="preserve">художественное творчество). </w:t>
      </w:r>
      <w:proofErr w:type="gramEnd"/>
    </w:p>
    <w:p w:rsidR="004A432A" w:rsidRDefault="004A432A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3455CB" w:rsidRDefault="004A432A" w:rsidP="00C463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7E64B4" wp14:editId="29205AE3">
            <wp:extent cx="4572000" cy="3086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0A7" w:rsidRDefault="003B00A7" w:rsidP="00550683">
      <w:pPr>
        <w:rPr>
          <w:rFonts w:ascii="Times New Roman" w:hAnsi="Times New Roman" w:cs="Times New Roman"/>
          <w:b/>
          <w:sz w:val="28"/>
          <w:szCs w:val="28"/>
        </w:rPr>
      </w:pPr>
    </w:p>
    <w:p w:rsidR="003B00A7" w:rsidRDefault="007D1A95" w:rsidP="007D1A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7D1A95">
        <w:rPr>
          <w:rFonts w:ascii="Times New Roman" w:hAnsi="Times New Roman" w:cs="Times New Roman"/>
          <w:sz w:val="24"/>
          <w:szCs w:val="28"/>
          <w:u w:val="single"/>
        </w:rPr>
        <w:t>Адаптация детей в группе раннего возраста</w:t>
      </w:r>
    </w:p>
    <w:p w:rsidR="007D1A95" w:rsidRDefault="00FE0683" w:rsidP="00FE0683">
      <w:pPr>
        <w:pStyle w:val="a3"/>
        <w:ind w:left="0" w:firstLine="709"/>
        <w:rPr>
          <w:rFonts w:ascii="Times New Roman" w:hAnsi="Times New Roman" w:cs="Times New Roman"/>
          <w:sz w:val="24"/>
          <w:szCs w:val="28"/>
        </w:rPr>
      </w:pPr>
      <w:r w:rsidRPr="00FE0683">
        <w:rPr>
          <w:rFonts w:ascii="Times New Roman" w:hAnsi="Times New Roman" w:cs="Times New Roman"/>
          <w:sz w:val="24"/>
          <w:szCs w:val="28"/>
        </w:rPr>
        <w:t xml:space="preserve">В группу раннего возраста поступило </w:t>
      </w:r>
      <w:r w:rsidR="00CE0749">
        <w:rPr>
          <w:rFonts w:ascii="Times New Roman" w:hAnsi="Times New Roman" w:cs="Times New Roman"/>
          <w:sz w:val="24"/>
          <w:szCs w:val="28"/>
        </w:rPr>
        <w:t>17 детей, из них с тяжелой степенью адаптации 4 человека, средней – 5 человек и с легкой – 8 человек</w:t>
      </w:r>
    </w:p>
    <w:p w:rsidR="00CE0749" w:rsidRDefault="00CE0749" w:rsidP="00CE0749">
      <w:pPr>
        <w:pStyle w:val="a3"/>
        <w:ind w:left="0" w:firstLine="709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00544BB" wp14:editId="452AA861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7CF8" w:rsidRDefault="00FB7CF8" w:rsidP="00CE0749">
      <w:pPr>
        <w:pStyle w:val="a3"/>
        <w:ind w:left="0" w:firstLine="709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</w:p>
    <w:p w:rsidR="00FB7CF8" w:rsidRDefault="00FB7CF8" w:rsidP="00FB7CF8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8"/>
          <w:u w:val="single"/>
        </w:rPr>
        <w:t>Уровень готовности выпускников детского сада к обучению в школе</w:t>
      </w:r>
    </w:p>
    <w:p w:rsidR="0083280D" w:rsidRDefault="0083280D" w:rsidP="00084E44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3280D">
        <w:rPr>
          <w:rFonts w:ascii="Times New Roman" w:hAnsi="Times New Roman" w:cs="Times New Roman"/>
          <w:bCs/>
          <w:iCs/>
          <w:sz w:val="24"/>
          <w:szCs w:val="28"/>
        </w:rPr>
        <w:t xml:space="preserve">Подготовительную группу посещали 23 ребенка, из них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пойдут в школу 16 человек. На момент обследования исполнилось 7 лет – 2 чел., от 6л 6м до 6л 11м </w:t>
      </w:r>
      <w:r w:rsidR="00A355FC">
        <w:rPr>
          <w:rFonts w:ascii="Times New Roman" w:hAnsi="Times New Roman" w:cs="Times New Roman"/>
          <w:bCs/>
          <w:iCs/>
          <w:sz w:val="24"/>
          <w:szCs w:val="28"/>
        </w:rPr>
        <w:t>–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A355FC">
        <w:rPr>
          <w:rFonts w:ascii="Times New Roman" w:hAnsi="Times New Roman" w:cs="Times New Roman"/>
          <w:bCs/>
          <w:iCs/>
          <w:sz w:val="24"/>
          <w:szCs w:val="28"/>
        </w:rPr>
        <w:t>9 чел., от 6л до 6л5м – 5 чел. Диагностика проводилась по методике Н. Семаго, М. Семаго «Психолого-педагогическая оценка готовности к началу школьного обучения». Результаты обслед</w:t>
      </w:r>
      <w:r w:rsidR="00BC7E57">
        <w:rPr>
          <w:rFonts w:ascii="Times New Roman" w:hAnsi="Times New Roman" w:cs="Times New Roman"/>
          <w:bCs/>
          <w:iCs/>
          <w:sz w:val="24"/>
          <w:szCs w:val="28"/>
        </w:rPr>
        <w:t>ования представлены в процентном</w:t>
      </w:r>
      <w:r w:rsidR="00A355FC">
        <w:rPr>
          <w:rFonts w:ascii="Times New Roman" w:hAnsi="Times New Roman" w:cs="Times New Roman"/>
          <w:bCs/>
          <w:iCs/>
          <w:sz w:val="24"/>
          <w:szCs w:val="28"/>
        </w:rPr>
        <w:t xml:space="preserve"> отношении</w:t>
      </w:r>
      <w:r w:rsidR="00BC7E57">
        <w:rPr>
          <w:rFonts w:ascii="Times New Roman" w:hAnsi="Times New Roman" w:cs="Times New Roman"/>
          <w:bCs/>
          <w:iCs/>
          <w:sz w:val="24"/>
          <w:szCs w:val="28"/>
        </w:rPr>
        <w:t xml:space="preserve"> в сравнении с результатами прошлого года. </w:t>
      </w:r>
    </w:p>
    <w:p w:rsidR="00BC7E57" w:rsidRDefault="00BC7E57" w:rsidP="0083280D">
      <w:pPr>
        <w:pStyle w:val="a3"/>
        <w:ind w:left="0" w:firstLine="709"/>
        <w:rPr>
          <w:rFonts w:ascii="Times New Roman" w:hAnsi="Times New Roman" w:cs="Times New Roman"/>
          <w:bCs/>
          <w:iCs/>
          <w:sz w:val="24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FF1CE06" wp14:editId="0A093B1D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BC7E57" w:rsidRDefault="00BC7E57" w:rsidP="00084E44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BC7E57" w:rsidRDefault="00BC7E57" w:rsidP="00084E44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Анализ параметров диагностики готовности к школе показал, что в текущем учебном году </w:t>
      </w:r>
      <w:r w:rsidR="009A2088">
        <w:rPr>
          <w:rFonts w:ascii="Times New Roman" w:hAnsi="Times New Roman" w:cs="Times New Roman"/>
          <w:bCs/>
          <w:iCs/>
          <w:sz w:val="24"/>
          <w:szCs w:val="28"/>
        </w:rPr>
        <w:t xml:space="preserve">значительно улучшился уровень </w:t>
      </w:r>
      <w:proofErr w:type="spellStart"/>
      <w:r w:rsidR="009A2088">
        <w:rPr>
          <w:rFonts w:ascii="Times New Roman" w:hAnsi="Times New Roman" w:cs="Times New Roman"/>
          <w:bCs/>
          <w:iCs/>
          <w:sz w:val="24"/>
          <w:szCs w:val="28"/>
        </w:rPr>
        <w:t>сформированности</w:t>
      </w:r>
      <w:proofErr w:type="spellEnd"/>
      <w:r w:rsidR="009A208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447002">
        <w:rPr>
          <w:rFonts w:ascii="Times New Roman" w:hAnsi="Times New Roman" w:cs="Times New Roman"/>
          <w:bCs/>
          <w:iCs/>
          <w:sz w:val="24"/>
          <w:szCs w:val="28"/>
        </w:rPr>
        <w:t xml:space="preserve">произвольной регуляции деятельности с 52% в 2013г до 65% в 2014г. </w:t>
      </w:r>
    </w:p>
    <w:p w:rsidR="00447002" w:rsidRDefault="00447002" w:rsidP="00084E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8"/>
          <w:u w:val="single"/>
        </w:rPr>
        <w:t xml:space="preserve">Степень адаптации выпускников к условиям обучения в школе. </w:t>
      </w:r>
    </w:p>
    <w:p w:rsidR="00D15783" w:rsidRPr="00D15783" w:rsidRDefault="00D15783" w:rsidP="00084E44">
      <w:pPr>
        <w:pStyle w:val="a3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Диагностика</w:t>
      </w:r>
      <w:r w:rsidR="00DA5418">
        <w:rPr>
          <w:rFonts w:ascii="Times New Roman" w:hAnsi="Times New Roman" w:cs="Times New Roman"/>
          <w:bCs/>
          <w:iCs/>
          <w:sz w:val="24"/>
          <w:szCs w:val="28"/>
        </w:rPr>
        <w:t xml:space="preserve"> степени адаптации выпускников к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условиям обучения в школе проводится с использованием </w:t>
      </w:r>
      <w:r w:rsidR="00DA5418">
        <w:rPr>
          <w:rFonts w:ascii="Times New Roman" w:hAnsi="Times New Roman" w:cs="Times New Roman"/>
          <w:bCs/>
          <w:iCs/>
          <w:sz w:val="24"/>
          <w:szCs w:val="28"/>
        </w:rPr>
        <w:t xml:space="preserve">анкеты-опросника для учителей «Особенности адаптации первоклассников к школе» Р. </w:t>
      </w:r>
      <w:proofErr w:type="spellStart"/>
      <w:r w:rsidR="00DA5418">
        <w:rPr>
          <w:rFonts w:ascii="Times New Roman" w:hAnsi="Times New Roman" w:cs="Times New Roman"/>
          <w:bCs/>
          <w:iCs/>
          <w:sz w:val="24"/>
          <w:szCs w:val="28"/>
        </w:rPr>
        <w:t>Рахмакуловой</w:t>
      </w:r>
      <w:proofErr w:type="spellEnd"/>
      <w:r w:rsidR="00DA5418">
        <w:rPr>
          <w:rFonts w:ascii="Times New Roman" w:hAnsi="Times New Roman" w:cs="Times New Roman"/>
          <w:bCs/>
          <w:iCs/>
          <w:sz w:val="24"/>
          <w:szCs w:val="28"/>
        </w:rPr>
        <w:t xml:space="preserve">. </w:t>
      </w:r>
    </w:p>
    <w:p w:rsidR="0083280D" w:rsidRDefault="00D15783" w:rsidP="00B52434">
      <w:pPr>
        <w:pStyle w:val="a3"/>
        <w:ind w:left="1080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BB6F327" wp14:editId="44BAA828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7CF8" w:rsidRDefault="00FB7CF8" w:rsidP="00FB7CF8">
      <w:pPr>
        <w:pStyle w:val="a3"/>
        <w:ind w:left="1080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</w:p>
    <w:p w:rsidR="00CE0749" w:rsidRDefault="00CE0749" w:rsidP="00CE0749">
      <w:pPr>
        <w:pStyle w:val="a3"/>
        <w:ind w:left="0" w:firstLine="709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</w:p>
    <w:p w:rsidR="00CE0749" w:rsidRPr="00CE0749" w:rsidRDefault="00CE0749" w:rsidP="00CE07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  <w:u w:val="single"/>
        </w:rPr>
        <w:t xml:space="preserve">Участие воспитанников детского сада в мероприятиях на муниципальном уровне 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4217"/>
        <w:gridCol w:w="2009"/>
        <w:gridCol w:w="2650"/>
      </w:tblGrid>
      <w:tr w:rsidR="00896B6E" w:rsidTr="00F46DDC">
        <w:tc>
          <w:tcPr>
            <w:tcW w:w="0" w:type="auto"/>
          </w:tcPr>
          <w:p w:rsidR="00CE0749" w:rsidRDefault="00CE0749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CE0749" w:rsidRDefault="00CE0749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CE0749" w:rsidRDefault="00CE0749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  <w:tc>
          <w:tcPr>
            <w:tcW w:w="0" w:type="auto"/>
          </w:tcPr>
          <w:p w:rsidR="00CE0749" w:rsidRDefault="00DA5418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от общего количест</w:t>
            </w:r>
            <w:r w:rsidR="00CE0749">
              <w:rPr>
                <w:rFonts w:ascii="Times New Roman" w:hAnsi="Times New Roman" w:cs="Times New Roman"/>
                <w:sz w:val="24"/>
                <w:szCs w:val="28"/>
              </w:rPr>
              <w:t>ва детей</w:t>
            </w:r>
          </w:p>
        </w:tc>
      </w:tr>
      <w:tr w:rsidR="00896B6E" w:rsidTr="00F46DDC">
        <w:tc>
          <w:tcPr>
            <w:tcW w:w="0" w:type="auto"/>
          </w:tcPr>
          <w:p w:rsidR="00CE0749" w:rsidRDefault="00896B6E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Спартакиада </w:t>
            </w:r>
            <w:r w:rsidR="00084E44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дошкольников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</w:tr>
      <w:tr w:rsidR="00896B6E" w:rsidTr="00F46DDC">
        <w:tc>
          <w:tcPr>
            <w:tcW w:w="0" w:type="auto"/>
          </w:tcPr>
          <w:p w:rsidR="00CE0749" w:rsidRDefault="00896B6E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Районный конкурс детского творчества «Восходящая звездочка»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</w:tr>
      <w:tr w:rsidR="00896B6E" w:rsidTr="00F46DDC">
        <w:tc>
          <w:tcPr>
            <w:tcW w:w="0" w:type="auto"/>
          </w:tcPr>
          <w:p w:rsidR="00CE0749" w:rsidRDefault="00896B6E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Районный фестиваль ямщицкой песни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«Страна ямщика»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</w:tr>
      <w:tr w:rsidR="00896B6E" w:rsidTr="00F46DDC">
        <w:tc>
          <w:tcPr>
            <w:tcW w:w="0" w:type="auto"/>
          </w:tcPr>
          <w:p w:rsidR="00CE0749" w:rsidRDefault="00896B6E" w:rsidP="00CE0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турнир по ПДД «Чудеса на виражах»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CE0749" w:rsidRDefault="00896B6E" w:rsidP="00896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</w:tr>
    </w:tbl>
    <w:p w:rsidR="005B1874" w:rsidRDefault="005B1874" w:rsidP="00CE0749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6F5B36" w:rsidRDefault="005B1874" w:rsidP="006F5B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Работа с педагогическими кадрами </w:t>
      </w:r>
    </w:p>
    <w:p w:rsidR="006F5B36" w:rsidRPr="006F5B36" w:rsidRDefault="006F5B36" w:rsidP="006F5B36">
      <w:pPr>
        <w:pStyle w:val="a3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6F5B36">
        <w:rPr>
          <w:rFonts w:ascii="Times New Roman" w:hAnsi="Times New Roman" w:cs="Times New Roman"/>
          <w:bCs/>
          <w:sz w:val="24"/>
          <w:szCs w:val="28"/>
          <w:u w:val="single"/>
        </w:rPr>
        <w:t>Краткая характеристика кадрового  обеспечения образовательного процесса:</w:t>
      </w:r>
    </w:p>
    <w:p w:rsidR="005B1874" w:rsidRDefault="006F5B36" w:rsidP="005B1874">
      <w:pPr>
        <w:pStyle w:val="a3"/>
        <w:ind w:left="0" w:firstLine="720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 w:rsidRPr="006F5B36">
        <w:rPr>
          <w:rFonts w:ascii="Times New Roman" w:hAnsi="Times New Roman" w:cs="Times New Roman"/>
          <w:bCs/>
          <w:iCs/>
          <w:sz w:val="24"/>
          <w:szCs w:val="28"/>
          <w:u w:val="single"/>
        </w:rPr>
        <w:t>по уровню образования:</w:t>
      </w:r>
    </w:p>
    <w:p w:rsidR="00A40A5A" w:rsidRPr="006F5B36" w:rsidRDefault="00A40A5A" w:rsidP="005B1874">
      <w:pPr>
        <w:pStyle w:val="a3"/>
        <w:ind w:left="0" w:firstLine="720"/>
        <w:rPr>
          <w:rFonts w:ascii="Times New Roman" w:hAnsi="Times New Roman" w:cs="Times New Roman"/>
          <w:szCs w:val="28"/>
          <w:u w:val="single"/>
        </w:rPr>
      </w:pPr>
    </w:p>
    <w:p w:rsidR="00DA5418" w:rsidRDefault="006F5B36" w:rsidP="00CE0749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2B395DB0" wp14:editId="7499A03C">
            <wp:extent cx="3962400" cy="19526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EB" w:rsidRDefault="001024EB" w:rsidP="00CE0749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</w:p>
    <w:p w:rsidR="00A40A5A" w:rsidRDefault="00A40A5A" w:rsidP="00A40A5A">
      <w:pPr>
        <w:pStyle w:val="a3"/>
        <w:ind w:left="1080" w:hanging="654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2.2 </w:t>
      </w:r>
      <w:r>
        <w:rPr>
          <w:rFonts w:ascii="Times New Roman" w:hAnsi="Times New Roman" w:cs="Times New Roman"/>
          <w:sz w:val="24"/>
          <w:szCs w:val="28"/>
          <w:u w:val="single"/>
        </w:rPr>
        <w:t>по квалификационным категориям:</w:t>
      </w:r>
    </w:p>
    <w:p w:rsidR="00E06CD0" w:rsidRDefault="00E06CD0" w:rsidP="00A40A5A">
      <w:pPr>
        <w:pStyle w:val="a3"/>
        <w:ind w:left="1080" w:hanging="654"/>
        <w:rPr>
          <w:rFonts w:ascii="Times New Roman" w:hAnsi="Times New Roman" w:cs="Times New Roman"/>
          <w:sz w:val="24"/>
          <w:szCs w:val="28"/>
          <w:u w:val="single"/>
        </w:rPr>
      </w:pPr>
    </w:p>
    <w:p w:rsidR="00A40A5A" w:rsidRDefault="00E06CD0" w:rsidP="00A40A5A">
      <w:pPr>
        <w:pStyle w:val="a3"/>
        <w:ind w:left="1080" w:hanging="654"/>
        <w:rPr>
          <w:rFonts w:ascii="Times New Roman" w:hAnsi="Times New Roman" w:cs="Times New Roman"/>
          <w:sz w:val="24"/>
          <w:szCs w:val="28"/>
          <w:u w:val="single"/>
        </w:rPr>
      </w:pPr>
      <w:r w:rsidRPr="00E06CD0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40A5A">
        <w:rPr>
          <w:noProof/>
          <w:lang w:eastAsia="ru-RU"/>
        </w:rPr>
        <w:drawing>
          <wp:inline distT="0" distB="0" distL="0" distR="0" wp14:anchorId="720501E7" wp14:editId="04851A1D">
            <wp:extent cx="3933825" cy="23241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0A5A" w:rsidRDefault="00A40A5A" w:rsidP="00084E44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73060">
        <w:rPr>
          <w:rFonts w:ascii="Times New Roman" w:hAnsi="Times New Roman" w:cs="Times New Roman"/>
          <w:sz w:val="24"/>
          <w:szCs w:val="28"/>
        </w:rPr>
        <w:t xml:space="preserve">За прошедший учебный год два педагога </w:t>
      </w:r>
      <w:r w:rsidR="00473060">
        <w:rPr>
          <w:rFonts w:ascii="Times New Roman" w:hAnsi="Times New Roman" w:cs="Times New Roman"/>
          <w:sz w:val="24"/>
          <w:szCs w:val="28"/>
        </w:rPr>
        <w:t>повысили свою квалифик</w:t>
      </w:r>
      <w:r w:rsidR="001024EB">
        <w:rPr>
          <w:rFonts w:ascii="Times New Roman" w:hAnsi="Times New Roman" w:cs="Times New Roman"/>
          <w:sz w:val="24"/>
          <w:szCs w:val="28"/>
        </w:rPr>
        <w:t>а</w:t>
      </w:r>
      <w:r w:rsidR="00473060">
        <w:rPr>
          <w:rFonts w:ascii="Times New Roman" w:hAnsi="Times New Roman" w:cs="Times New Roman"/>
          <w:sz w:val="24"/>
          <w:szCs w:val="28"/>
        </w:rPr>
        <w:t>ционную категорию со второй на первую</w:t>
      </w:r>
      <w:r w:rsidR="004F7A90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4F7A90">
        <w:rPr>
          <w:rFonts w:ascii="Times New Roman" w:hAnsi="Times New Roman" w:cs="Times New Roman"/>
          <w:sz w:val="24"/>
          <w:szCs w:val="28"/>
        </w:rPr>
        <w:t>Сосновцева</w:t>
      </w:r>
      <w:proofErr w:type="spellEnd"/>
      <w:r w:rsidR="004F7A90">
        <w:rPr>
          <w:rFonts w:ascii="Times New Roman" w:hAnsi="Times New Roman" w:cs="Times New Roman"/>
          <w:sz w:val="24"/>
          <w:szCs w:val="28"/>
        </w:rPr>
        <w:t xml:space="preserve"> Т.Ю., </w:t>
      </w:r>
      <w:proofErr w:type="spellStart"/>
      <w:r w:rsidR="004F7A90">
        <w:rPr>
          <w:rFonts w:ascii="Times New Roman" w:hAnsi="Times New Roman" w:cs="Times New Roman"/>
          <w:sz w:val="24"/>
          <w:szCs w:val="28"/>
        </w:rPr>
        <w:t>Рудкина</w:t>
      </w:r>
      <w:proofErr w:type="spellEnd"/>
      <w:r w:rsidR="004F7A90">
        <w:rPr>
          <w:rFonts w:ascii="Times New Roman" w:hAnsi="Times New Roman" w:cs="Times New Roman"/>
          <w:sz w:val="24"/>
          <w:szCs w:val="28"/>
        </w:rPr>
        <w:t xml:space="preserve"> Е.А.). </w:t>
      </w:r>
      <w:r w:rsidR="00E06CD0">
        <w:rPr>
          <w:rFonts w:ascii="Times New Roman" w:hAnsi="Times New Roman" w:cs="Times New Roman"/>
          <w:sz w:val="24"/>
          <w:szCs w:val="28"/>
        </w:rPr>
        <w:t>Пять педагогов повысили уровень своей компетенции на курсах повышения квалификации ИРО</w:t>
      </w:r>
      <w:r w:rsidR="004F7A90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4F7A90">
        <w:rPr>
          <w:rFonts w:ascii="Times New Roman" w:hAnsi="Times New Roman" w:cs="Times New Roman"/>
          <w:sz w:val="24"/>
          <w:szCs w:val="28"/>
        </w:rPr>
        <w:t>Рудкина</w:t>
      </w:r>
      <w:proofErr w:type="spellEnd"/>
      <w:r w:rsidR="004F7A90">
        <w:rPr>
          <w:rFonts w:ascii="Times New Roman" w:hAnsi="Times New Roman" w:cs="Times New Roman"/>
          <w:sz w:val="24"/>
          <w:szCs w:val="28"/>
        </w:rPr>
        <w:t xml:space="preserve"> Е.А., Дементьева Г.Н., </w:t>
      </w:r>
      <w:proofErr w:type="spellStart"/>
      <w:r w:rsidR="004F7A90">
        <w:rPr>
          <w:rFonts w:ascii="Times New Roman" w:hAnsi="Times New Roman" w:cs="Times New Roman"/>
          <w:sz w:val="24"/>
          <w:szCs w:val="28"/>
        </w:rPr>
        <w:t>Сосновцева</w:t>
      </w:r>
      <w:proofErr w:type="spellEnd"/>
      <w:r w:rsidR="004F7A90">
        <w:rPr>
          <w:rFonts w:ascii="Times New Roman" w:hAnsi="Times New Roman" w:cs="Times New Roman"/>
          <w:sz w:val="24"/>
          <w:szCs w:val="28"/>
        </w:rPr>
        <w:t xml:space="preserve"> Т.Ю., Бровкина М.С., Киселева А.А.).</w:t>
      </w:r>
    </w:p>
    <w:p w:rsidR="00E06CD0" w:rsidRDefault="00E06CD0" w:rsidP="00473060">
      <w:pPr>
        <w:pStyle w:val="a3"/>
        <w:ind w:left="0" w:firstLine="426"/>
        <w:rPr>
          <w:rFonts w:ascii="Times New Roman" w:hAnsi="Times New Roman" w:cs="Times New Roman"/>
          <w:sz w:val="24"/>
          <w:szCs w:val="28"/>
        </w:rPr>
      </w:pPr>
    </w:p>
    <w:p w:rsidR="001024EB" w:rsidRPr="00B50B87" w:rsidRDefault="00B50B87" w:rsidP="001024EB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>Распространение педагогического опыта на различных</w:t>
      </w:r>
      <w:r w:rsidR="001024EB">
        <w:rPr>
          <w:rFonts w:ascii="Times New Roman" w:hAnsi="Times New Roman" w:cs="Times New Roman"/>
          <w:i/>
          <w:sz w:val="24"/>
          <w:szCs w:val="28"/>
          <w:u w:val="single"/>
        </w:rPr>
        <w:t xml:space="preserve"> уровня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>х</w:t>
      </w:r>
      <w:r w:rsidR="001024EB">
        <w:rPr>
          <w:rFonts w:ascii="Times New Roman" w:hAnsi="Times New Roman" w:cs="Times New Roman"/>
          <w:i/>
          <w:sz w:val="24"/>
          <w:szCs w:val="28"/>
          <w:u w:val="single"/>
        </w:rPr>
        <w:t xml:space="preserve">  </w:t>
      </w:r>
    </w:p>
    <w:p w:rsidR="00B50B87" w:rsidRDefault="00B50B87" w:rsidP="00B50B87">
      <w:pPr>
        <w:pStyle w:val="a3"/>
        <w:ind w:left="786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456"/>
        <w:gridCol w:w="3828"/>
        <w:gridCol w:w="1984"/>
        <w:gridCol w:w="2517"/>
      </w:tblGrid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мероприятия</w:t>
            </w:r>
          </w:p>
        </w:tc>
        <w:tc>
          <w:tcPr>
            <w:tcW w:w="1984" w:type="dxa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2517" w:type="dxa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педагога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Смотр-конкурс на лучшую организацию работы по  профилактике детского дорожно-транспортного травматизма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Киселева А.А.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Каленова О.Р.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«Организация гимнастики после сна – новые игры и упражнения»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Киселева А.А.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показ организации оздоровительного часа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Киселева А.А.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показ гимнастики после сна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Зиновьева А.Е.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для родителей детей, посещающих занятия по профилактике нарушений осанки и плоскостопия «Я здоровье берегу – сам себе я помогу»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Киселева А.А.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«Лучшее новогоднее украшение группы»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Каленова О.Р.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«Каждое дело творчески, иначе зачем?»</w:t>
            </w:r>
          </w:p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«Комплексный подход к творческому развитию речи дошкольника»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Дементьева Г.Н.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«Наша звездная семья»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Каленова О.Р.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«Лучший воспитатель дошкольного учреждения 2014»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«С мамой мир ярче»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«Организация сюжетно-ролевой игры»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Аукцион сюжетно-ролевых игр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Каленова О.Р.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Ярмарка педагогических идей «Развитие творческих способностей детей»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Спартакиада для дошкольников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непосредственной образовательной деятельности на заседании МО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«Создание условий для сюжетно-ролевой игры»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17 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открытых дверей. Показ непосредственной образовательной деятельности для родителей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</w:tc>
      </w:tr>
      <w:tr w:rsidR="00B50B87" w:rsidTr="00B50B87">
        <w:tc>
          <w:tcPr>
            <w:tcW w:w="0" w:type="auto"/>
          </w:tcPr>
          <w:p w:rsidR="00B50B87" w:rsidRDefault="00B50B87" w:rsidP="0010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</w:p>
        </w:tc>
        <w:tc>
          <w:tcPr>
            <w:tcW w:w="3828" w:type="dxa"/>
          </w:tcPr>
          <w:p w:rsidR="00B50B87" w:rsidRDefault="00B50B87" w:rsidP="00B5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«Создание условий для сохранения и укрепления здоровья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дошкольников через реализацию программ социального партнерства»</w:t>
            </w:r>
          </w:p>
        </w:tc>
        <w:tc>
          <w:tcPr>
            <w:tcW w:w="1984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муниципальный</w:t>
            </w:r>
          </w:p>
        </w:tc>
        <w:tc>
          <w:tcPr>
            <w:tcW w:w="2517" w:type="dxa"/>
          </w:tcPr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Головина О.В.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  <w:p w:rsidR="00B50B87" w:rsidRDefault="00B50B87" w:rsidP="00B50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Каленова О.Р.</w:t>
            </w:r>
          </w:p>
        </w:tc>
      </w:tr>
    </w:tbl>
    <w:p w:rsidR="001024EB" w:rsidRDefault="001024EB" w:rsidP="001024EB">
      <w:pPr>
        <w:pStyle w:val="a3"/>
        <w:ind w:left="786"/>
        <w:rPr>
          <w:rFonts w:ascii="Times New Roman" w:hAnsi="Times New Roman" w:cs="Times New Roman"/>
          <w:sz w:val="24"/>
          <w:szCs w:val="28"/>
        </w:rPr>
      </w:pPr>
    </w:p>
    <w:p w:rsidR="001024EB" w:rsidRDefault="004F7A90" w:rsidP="004F7A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Работа с социумом </w:t>
      </w:r>
    </w:p>
    <w:p w:rsidR="004F7A90" w:rsidRPr="00254CE3" w:rsidRDefault="004F7A90" w:rsidP="004F7A9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  <w:r w:rsidR="00254C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4CE3" w:rsidRDefault="00254CE3" w:rsidP="00254CE3">
      <w:pPr>
        <w:pStyle w:val="a3"/>
        <w:ind w:left="0" w:firstLine="786"/>
        <w:rPr>
          <w:rFonts w:ascii="Times New Roman" w:hAnsi="Times New Roman" w:cs="Times New Roman"/>
          <w:sz w:val="24"/>
          <w:szCs w:val="24"/>
        </w:rPr>
      </w:pPr>
      <w:r w:rsidRPr="00254CE3">
        <w:rPr>
          <w:rFonts w:ascii="Times New Roman" w:hAnsi="Times New Roman" w:cs="Times New Roman"/>
          <w:sz w:val="24"/>
          <w:szCs w:val="24"/>
        </w:rPr>
        <w:t xml:space="preserve">За 2013/14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собрания по темам: «Публичный отчет о работе за 2012/13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«Новое в дошкольном образовании: ФГОС ДО»</w:t>
      </w:r>
      <w:r w:rsidR="00DD63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Педагогами совместно со специалистами проведено </w:t>
      </w:r>
      <w:r w:rsidR="00D408A8">
        <w:rPr>
          <w:rFonts w:ascii="Times New Roman" w:hAnsi="Times New Roman" w:cs="Times New Roman"/>
          <w:sz w:val="24"/>
          <w:szCs w:val="24"/>
        </w:rPr>
        <w:t>12 встреч с родителями. Встречи проходили в различных формах: собрание, консультация, практикум, семинар-практикум, совместная деятельность с детьми. Охват родителей составил примерно 65% от общего количества, что на 5% ниже прошлогоднего уровня.</w:t>
      </w:r>
      <w:r w:rsidR="00DD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5E" w:rsidRDefault="0035435E" w:rsidP="0035435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 внешними социальными партнерами </w:t>
      </w:r>
    </w:p>
    <w:p w:rsidR="0035435E" w:rsidRDefault="0035435E" w:rsidP="0035435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2013/14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была организована работа со следующими социальными партнерами: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626"/>
        <w:gridCol w:w="5489"/>
      </w:tblGrid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МОБУ СОШ  школа №3</w:t>
            </w:r>
          </w:p>
        </w:tc>
        <w:tc>
          <w:tcPr>
            <w:tcW w:w="0" w:type="auto"/>
          </w:tcPr>
          <w:p w:rsidR="00084E44" w:rsidRDefault="00084E44" w:rsidP="002A19A8">
            <w:pPr>
              <w:numPr>
                <w:ilvl w:val="0"/>
                <w:numId w:val="5"/>
              </w:numPr>
              <w:tabs>
                <w:tab w:val="num" w:pos="15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 по проблемам адаптации первоклассников к условиям обучения в школе;</w:t>
            </w:r>
          </w:p>
          <w:p w:rsidR="00084E44" w:rsidRPr="002A19A8" w:rsidRDefault="00084E44" w:rsidP="0035435E">
            <w:pPr>
              <w:numPr>
                <w:ilvl w:val="0"/>
                <w:numId w:val="5"/>
              </w:numPr>
              <w:tabs>
                <w:tab w:val="num" w:pos="15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  <w:r w:rsidRPr="002A1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ПДД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МОБУ ДОД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детского творчества</w:t>
            </w:r>
          </w:p>
        </w:tc>
        <w:tc>
          <w:tcPr>
            <w:tcW w:w="0" w:type="auto"/>
          </w:tcPr>
          <w:p w:rsidR="00084E44" w:rsidRPr="002A19A8" w:rsidRDefault="00084E44" w:rsidP="002A19A8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5"/>
              </w:tabs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занятий спортивно-оздоровительного направления по программе «Здоровье»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4E44" w:rsidRPr="002A19A8" w:rsidRDefault="00084E44" w:rsidP="002A19A8">
            <w:pPr>
              <w:numPr>
                <w:ilvl w:val="0"/>
                <w:numId w:val="5"/>
              </w:numPr>
              <w:tabs>
                <w:tab w:val="clear" w:pos="720"/>
                <w:tab w:val="num" w:pos="115"/>
              </w:tabs>
              <w:ind w:left="13" w:hanging="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спектакля «Как царь Иван себе невесту выбирал»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«Спринт»</w:t>
            </w:r>
          </w:p>
        </w:tc>
        <w:tc>
          <w:tcPr>
            <w:tcW w:w="0" w:type="auto"/>
          </w:tcPr>
          <w:p w:rsidR="00084E44" w:rsidRDefault="00084E44" w:rsidP="002A19A8">
            <w:pPr>
              <w:pStyle w:val="a3"/>
              <w:numPr>
                <w:ilvl w:val="0"/>
                <w:numId w:val="8"/>
              </w:numPr>
              <w:ind w:left="155" w:hanging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бассейне для детей старшего дошкольного возраста;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84E44" w:rsidRDefault="00084E44" w:rsidP="002A19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диагностики и консультирования «Консилиум»</w:t>
            </w:r>
          </w:p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4E44" w:rsidRDefault="00084E44" w:rsidP="002A19A8">
            <w:pPr>
              <w:numPr>
                <w:ilvl w:val="0"/>
                <w:numId w:val="9"/>
              </w:numPr>
              <w:tabs>
                <w:tab w:val="num" w:pos="26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«Арт-терапия в работе с дошкольниками» (педагоги);</w:t>
            </w:r>
          </w:p>
          <w:p w:rsidR="00084E44" w:rsidRPr="002A19A8" w:rsidRDefault="00084E44" w:rsidP="002A19A8">
            <w:pPr>
              <w:numPr>
                <w:ilvl w:val="0"/>
                <w:numId w:val="9"/>
              </w:numPr>
              <w:tabs>
                <w:tab w:val="num" w:pos="26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A8">
              <w:rPr>
                <w:rFonts w:ascii="Times New Roman" w:hAnsi="Times New Roman"/>
                <w:sz w:val="24"/>
                <w:szCs w:val="24"/>
                <w:lang w:eastAsia="ru-RU"/>
              </w:rPr>
              <w:t>тренинг «Я – малыш»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(родители)</w:t>
            </w:r>
            <w:r w:rsidRPr="002A19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4E44" w:rsidRPr="002A19A8" w:rsidRDefault="00084E44" w:rsidP="0035435E">
            <w:pPr>
              <w:numPr>
                <w:ilvl w:val="0"/>
                <w:numId w:val="9"/>
              </w:numPr>
              <w:tabs>
                <w:tab w:val="num" w:pos="261"/>
                <w:tab w:val="left" w:pos="438"/>
              </w:tabs>
              <w:ind w:left="0"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«Игры и игрушки или как играть с ребенком дома» (родители);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0" w:type="auto"/>
          </w:tcPr>
          <w:p w:rsidR="00084E44" w:rsidRPr="002A19A8" w:rsidRDefault="00084E44" w:rsidP="0035435E">
            <w:pPr>
              <w:numPr>
                <w:ilvl w:val="0"/>
                <w:numId w:val="10"/>
              </w:numPr>
              <w:tabs>
                <w:tab w:val="num" w:pos="312"/>
              </w:tabs>
              <w:ind w:left="0" w:firstLine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осмотр, диспансеризация детей;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дом культуры «Текстильщик»</w:t>
            </w:r>
          </w:p>
        </w:tc>
        <w:tc>
          <w:tcPr>
            <w:tcW w:w="0" w:type="auto"/>
          </w:tcPr>
          <w:p w:rsidR="00084E4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174"/>
              </w:tabs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 «Прощание с Масленицей»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84E44" w:rsidRDefault="00084E44" w:rsidP="002A19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народного творчества</w:t>
            </w:r>
          </w:p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4E44" w:rsidRPr="002B1CF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по изготовлению кукол (подготовительная группа);</w:t>
            </w:r>
          </w:p>
          <w:p w:rsidR="00084E44" w:rsidRPr="002B1CF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«Бабушкин сундук историй» (старшая, подготовительная группа);</w:t>
            </w:r>
          </w:p>
          <w:p w:rsidR="00084E44" w:rsidRPr="002B1CF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«Народная кукла» (старшая, подготовительная группа);</w:t>
            </w:r>
          </w:p>
          <w:p w:rsidR="00084E4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71"/>
              </w:tabs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игры на свежем воздухе (старшая, подготовительная группа)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0" w:type="auto"/>
          </w:tcPr>
          <w:p w:rsidR="00084E4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216"/>
              </w:tabs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игровые лекции для детей старшей группы по программе «Буковка за буковкой» (старшая группа)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Гаврилов-Ямское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</w:tcPr>
          <w:p w:rsidR="00084E44" w:rsidRDefault="00084E44" w:rsidP="002A19A8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188"/>
              </w:tabs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транспорта для подвоза детей до ДЮСШ</w:t>
            </w:r>
          </w:p>
        </w:tc>
      </w:tr>
      <w:tr w:rsidR="00084E44" w:rsidTr="0035435E"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84E44" w:rsidRDefault="00084E44" w:rsidP="003543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туризма «Ямская слобода»</w:t>
            </w:r>
          </w:p>
        </w:tc>
        <w:tc>
          <w:tcPr>
            <w:tcW w:w="0" w:type="auto"/>
          </w:tcPr>
          <w:p w:rsidR="00084E44" w:rsidRDefault="00084E44" w:rsidP="002B1CF4">
            <w:pPr>
              <w:numPr>
                <w:ilvl w:val="0"/>
                <w:numId w:val="10"/>
              </w:numPr>
              <w:tabs>
                <w:tab w:val="clear" w:pos="720"/>
                <w:tab w:val="num" w:pos="240"/>
                <w:tab w:val="left" w:pos="397"/>
              </w:tabs>
              <w:ind w:left="9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Музей пожарного дела г. Ярославль</w:t>
            </w:r>
          </w:p>
          <w:p w:rsidR="00084E44" w:rsidRPr="002B1CF4" w:rsidRDefault="00084E44" w:rsidP="002B1CF4">
            <w:pPr>
              <w:numPr>
                <w:ilvl w:val="0"/>
                <w:numId w:val="10"/>
              </w:numPr>
              <w:tabs>
                <w:tab w:val="clear" w:pos="720"/>
                <w:tab w:val="num" w:pos="240"/>
                <w:tab w:val="left" w:pos="397"/>
              </w:tabs>
              <w:ind w:left="9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Зоопарк г. Ярославль</w:t>
            </w:r>
          </w:p>
        </w:tc>
      </w:tr>
    </w:tbl>
    <w:p w:rsidR="0035435E" w:rsidRPr="0035435E" w:rsidRDefault="0035435E" w:rsidP="0035435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35435E" w:rsidRPr="0035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246"/>
    <w:multiLevelType w:val="hybridMultilevel"/>
    <w:tmpl w:val="D856D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63BE3"/>
    <w:multiLevelType w:val="hybridMultilevel"/>
    <w:tmpl w:val="B0D8F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E4CDC"/>
    <w:multiLevelType w:val="hybridMultilevel"/>
    <w:tmpl w:val="D5E2C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9216B"/>
    <w:multiLevelType w:val="multilevel"/>
    <w:tmpl w:val="70DC3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D50FED"/>
    <w:multiLevelType w:val="hybridMultilevel"/>
    <w:tmpl w:val="16F2C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50DF0"/>
    <w:multiLevelType w:val="hybridMultilevel"/>
    <w:tmpl w:val="CD5C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1319E"/>
    <w:multiLevelType w:val="multilevel"/>
    <w:tmpl w:val="5A90B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7F954C0"/>
    <w:multiLevelType w:val="hybridMultilevel"/>
    <w:tmpl w:val="7D20A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D7606"/>
    <w:multiLevelType w:val="multilevel"/>
    <w:tmpl w:val="4D368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B8"/>
    <w:rsid w:val="00023616"/>
    <w:rsid w:val="00084E44"/>
    <w:rsid w:val="000E250B"/>
    <w:rsid w:val="001024EB"/>
    <w:rsid w:val="00231F9E"/>
    <w:rsid w:val="00254CE3"/>
    <w:rsid w:val="00286A01"/>
    <w:rsid w:val="002A19A8"/>
    <w:rsid w:val="002B1CF4"/>
    <w:rsid w:val="002D41B8"/>
    <w:rsid w:val="002E0849"/>
    <w:rsid w:val="003455CB"/>
    <w:rsid w:val="0035435E"/>
    <w:rsid w:val="003B00A7"/>
    <w:rsid w:val="00434D26"/>
    <w:rsid w:val="00447002"/>
    <w:rsid w:val="00473060"/>
    <w:rsid w:val="004A432A"/>
    <w:rsid w:val="004A445A"/>
    <w:rsid w:val="004F7A90"/>
    <w:rsid w:val="00550683"/>
    <w:rsid w:val="005B1874"/>
    <w:rsid w:val="006F5B36"/>
    <w:rsid w:val="007D1A95"/>
    <w:rsid w:val="008301E0"/>
    <w:rsid w:val="0083280D"/>
    <w:rsid w:val="00896B6E"/>
    <w:rsid w:val="008B271A"/>
    <w:rsid w:val="00933B6B"/>
    <w:rsid w:val="009A2088"/>
    <w:rsid w:val="00A245F9"/>
    <w:rsid w:val="00A355FC"/>
    <w:rsid w:val="00A40A5A"/>
    <w:rsid w:val="00B50B87"/>
    <w:rsid w:val="00B52434"/>
    <w:rsid w:val="00B95251"/>
    <w:rsid w:val="00BC7E57"/>
    <w:rsid w:val="00C46348"/>
    <w:rsid w:val="00CE0749"/>
    <w:rsid w:val="00D15783"/>
    <w:rsid w:val="00D408A8"/>
    <w:rsid w:val="00DA5418"/>
    <w:rsid w:val="00DD6376"/>
    <w:rsid w:val="00E02A7F"/>
    <w:rsid w:val="00E06CD0"/>
    <w:rsid w:val="00EC0724"/>
    <w:rsid w:val="00F46DDC"/>
    <w:rsid w:val="00FB7CF8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7;&#1088;&#1077;&#1084;&#1086;&#1082;\Desktop\&#1086;&#1090;&#1095;&#1077;&#1090;&#1099;%2014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Лист1!$J$29</c:f>
              <c:strCache>
                <c:ptCount val="1"/>
                <c:pt idx="0">
                  <c:v>нач.уч.г.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Лист1!$I$30:$I$32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Лист1!$J$30:$J$32</c:f>
              <c:numCache>
                <c:formatCode>0%</c:formatCode>
                <c:ptCount val="3"/>
                <c:pt idx="0">
                  <c:v>0.13</c:v>
                </c:pt>
                <c:pt idx="1">
                  <c:v>0.67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Лист1!$K$29</c:f>
              <c:strCache>
                <c:ptCount val="1"/>
                <c:pt idx="0">
                  <c:v>кон.уч.г.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Лист1!$I$30:$I$32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Лист1!$K$30:$K$32</c:f>
              <c:numCache>
                <c:formatCode>0%</c:formatCode>
                <c:ptCount val="3"/>
                <c:pt idx="0">
                  <c:v>0.24</c:v>
                </c:pt>
                <c:pt idx="1">
                  <c:v>0.66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579520"/>
        <c:axId val="74826496"/>
        <c:axId val="0"/>
      </c:bar3DChart>
      <c:catAx>
        <c:axId val="7357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74826496"/>
        <c:crosses val="autoZero"/>
        <c:auto val="1"/>
        <c:lblAlgn val="ctr"/>
        <c:lblOffset val="100"/>
        <c:noMultiLvlLbl val="0"/>
      </c:catAx>
      <c:valAx>
        <c:axId val="74826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57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Лист1!$A$81</c:f>
              <c:strCache>
                <c:ptCount val="1"/>
                <c:pt idx="0">
                  <c:v>1 мл гр (восп. Каленова О.Р.)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Лист1!$B$81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Лист1!$A$82</c:f>
              <c:strCache>
                <c:ptCount val="1"/>
                <c:pt idx="0">
                  <c:v>2 мл. гр. (восп. Сосновцева Т.Ю.)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Лист1!$A$83</c:f>
              <c:strCache>
                <c:ptCount val="1"/>
                <c:pt idx="0">
                  <c:v>средняя гр. (восп. Шапорева Е.В.)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Лист1!$B$83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Лист1!$A$84</c:f>
              <c:strCache>
                <c:ptCount val="1"/>
                <c:pt idx="0">
                  <c:v>старшая гр. (восп. Леванова Г.Г.)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Лист1!$B$84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4"/>
          <c:order val="4"/>
          <c:tx>
            <c:strRef>
              <c:f>Лист1!$A$85</c:f>
              <c:strCache>
                <c:ptCount val="1"/>
                <c:pt idx="0">
                  <c:v>подготов. гр. (восп. Головина О.В.)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Лист1!$B$85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167616"/>
        <c:axId val="75169152"/>
        <c:axId val="0"/>
      </c:bar3DChart>
      <c:catAx>
        <c:axId val="7516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75169152"/>
        <c:crosses val="autoZero"/>
        <c:auto val="1"/>
        <c:lblAlgn val="ctr"/>
        <c:lblOffset val="100"/>
        <c:noMultiLvlLbl val="0"/>
      </c:catAx>
      <c:valAx>
        <c:axId val="75169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16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Лист1!$R$45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val>
            <c:numRef>
              <c:f>Лист1!$S$45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Лист1!$R$46</c:f>
              <c:strCache>
                <c:ptCount val="1"/>
                <c:pt idx="0">
                  <c:v>социализация</c:v>
                </c:pt>
              </c:strCache>
            </c:strRef>
          </c:tx>
          <c:invertIfNegative val="0"/>
          <c:val>
            <c:numRef>
              <c:f>Лист1!$S$46</c:f>
              <c:numCache>
                <c:formatCode>0%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Лист1!$R$47</c:f>
              <c:strCache>
                <c:ptCount val="1"/>
                <c:pt idx="0">
                  <c:v>коммуникация</c:v>
                </c:pt>
              </c:strCache>
            </c:strRef>
          </c:tx>
          <c:invertIfNegative val="0"/>
          <c:val>
            <c:numRef>
              <c:f>Лист1!$S$47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</c:ser>
        <c:ser>
          <c:idx val="3"/>
          <c:order val="3"/>
          <c:tx>
            <c:strRef>
              <c:f>Лист1!$R$48</c:f>
              <c:strCache>
                <c:ptCount val="1"/>
                <c:pt idx="0">
                  <c:v>здоровье</c:v>
                </c:pt>
              </c:strCache>
            </c:strRef>
          </c:tx>
          <c:invertIfNegative val="0"/>
          <c:val>
            <c:numRef>
              <c:f>Лист1!$S$48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4"/>
          <c:order val="4"/>
          <c:tx>
            <c:strRef>
              <c:f>Лист1!$R$49</c:f>
              <c:strCache>
                <c:ptCount val="1"/>
                <c:pt idx="0">
                  <c:v>физическая культура</c:v>
                </c:pt>
              </c:strCache>
            </c:strRef>
          </c:tx>
          <c:invertIfNegative val="0"/>
          <c:val>
            <c:numRef>
              <c:f>Лист1!$S$49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5"/>
          <c:order val="5"/>
          <c:tx>
            <c:strRef>
              <c:f>Лист1!$R$50</c:f>
              <c:strCache>
                <c:ptCount val="1"/>
                <c:pt idx="0">
                  <c:v>безопасность</c:v>
                </c:pt>
              </c:strCache>
            </c:strRef>
          </c:tx>
          <c:invertIfNegative val="0"/>
          <c:val>
            <c:numRef>
              <c:f>Лист1!$S$50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6"/>
          <c:order val="6"/>
          <c:tx>
            <c:strRef>
              <c:f>Лист1!$R$51</c:f>
              <c:strCache>
                <c:ptCount val="1"/>
                <c:pt idx="0">
                  <c:v>чтение художественной литературы</c:v>
                </c:pt>
              </c:strCache>
            </c:strRef>
          </c:tx>
          <c:invertIfNegative val="0"/>
          <c:val>
            <c:numRef>
              <c:f>Лист1!$S$51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Лист1!$R$52</c:f>
              <c:strCache>
                <c:ptCount val="1"/>
                <c:pt idx="0">
                  <c:v>художественное творчество</c:v>
                </c:pt>
              </c:strCache>
            </c:strRef>
          </c:tx>
          <c:invertIfNegative val="0"/>
          <c:val>
            <c:numRef>
              <c:f>Лист1!$S$52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8"/>
          <c:order val="8"/>
          <c:tx>
            <c:strRef>
              <c:f>Лист1!$R$53</c:f>
              <c:strCache>
                <c:ptCount val="1"/>
                <c:pt idx="0">
                  <c:v>труд</c:v>
                </c:pt>
              </c:strCache>
            </c:strRef>
          </c:tx>
          <c:invertIfNegative val="0"/>
          <c:val>
            <c:numRef>
              <c:f>Лист1!$S$53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162944"/>
        <c:axId val="76164480"/>
        <c:axId val="0"/>
      </c:bar3DChart>
      <c:catAx>
        <c:axId val="76162944"/>
        <c:scaling>
          <c:orientation val="minMax"/>
        </c:scaling>
        <c:delete val="1"/>
        <c:axPos val="b"/>
        <c:majorTickMark val="out"/>
        <c:minorTickMark val="none"/>
        <c:tickLblPos val="nextTo"/>
        <c:crossAx val="76164480"/>
        <c:crosses val="autoZero"/>
        <c:auto val="1"/>
        <c:lblAlgn val="ctr"/>
        <c:lblOffset val="100"/>
        <c:noMultiLvlLbl val="0"/>
      </c:catAx>
      <c:valAx>
        <c:axId val="76164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162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kern="5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Лист1!$V$64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Лист1!$W$64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Лист1!$V$65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Лист1!$W$65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Лист1!$V$66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Лист1!$W$66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Лист1!$V$67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Лист1!$W$67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4"/>
          <c:order val="4"/>
          <c:tx>
            <c:strRef>
              <c:f>Лист1!$V$68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Лист1!$W$68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206848"/>
        <c:axId val="76208384"/>
        <c:axId val="0"/>
      </c:bar3DChart>
      <c:catAx>
        <c:axId val="7620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6208384"/>
        <c:crosses val="autoZero"/>
        <c:auto val="1"/>
        <c:lblAlgn val="ctr"/>
        <c:lblOffset val="100"/>
        <c:noMultiLvlLbl val="0"/>
      </c:catAx>
      <c:valAx>
        <c:axId val="76208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20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Лист1!$A$95</c:f>
              <c:strCache>
                <c:ptCount val="1"/>
                <c:pt idx="0">
                  <c:v>легкая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Лист1!$B$95</c:f>
              <c:numCache>
                <c:formatCode>0%</c:formatCode>
                <c:ptCount val="1"/>
                <c:pt idx="0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Лист1!$A$96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Лист1!$B$96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Лист1!$A$97</c:f>
              <c:strCache>
                <c:ptCount val="1"/>
                <c:pt idx="0">
                  <c:v>тяжелая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Лист1!$B$97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345920"/>
        <c:axId val="77347456"/>
        <c:axId val="0"/>
      </c:bar3DChart>
      <c:catAx>
        <c:axId val="77345920"/>
        <c:scaling>
          <c:orientation val="minMax"/>
        </c:scaling>
        <c:delete val="1"/>
        <c:axPos val="b"/>
        <c:majorTickMark val="out"/>
        <c:minorTickMark val="none"/>
        <c:tickLblPos val="nextTo"/>
        <c:crossAx val="77347456"/>
        <c:crosses val="autoZero"/>
        <c:auto val="1"/>
        <c:lblAlgn val="ctr"/>
        <c:lblOffset val="100"/>
        <c:noMultiLvlLbl val="0"/>
      </c:catAx>
      <c:valAx>
        <c:axId val="7734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34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Лист1!$E$109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cat>
            <c:strRef>
              <c:f>Лист1!$D$110:$D$112</c:f>
              <c:strCache>
                <c:ptCount val="3"/>
                <c:pt idx="0">
                  <c:v>говность к школе</c:v>
                </c:pt>
                <c:pt idx="1">
                  <c:v>условная готовность к школе</c:v>
                </c:pt>
                <c:pt idx="2">
                  <c:v>неготовность к школе</c:v>
                </c:pt>
              </c:strCache>
            </c:strRef>
          </c:cat>
          <c:val>
            <c:numRef>
              <c:f>Лист1!$E$110:$E$112</c:f>
              <c:numCache>
                <c:formatCode>0%</c:formatCode>
                <c:ptCount val="3"/>
                <c:pt idx="0">
                  <c:v>0.4</c:v>
                </c:pt>
                <c:pt idx="1">
                  <c:v>0.24</c:v>
                </c:pt>
                <c:pt idx="2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Лист1!$F$109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cat>
            <c:strRef>
              <c:f>Лист1!$D$110:$D$112</c:f>
              <c:strCache>
                <c:ptCount val="3"/>
                <c:pt idx="0">
                  <c:v>говность к школе</c:v>
                </c:pt>
                <c:pt idx="1">
                  <c:v>условная готовность к школе</c:v>
                </c:pt>
                <c:pt idx="2">
                  <c:v>неготовность к школе</c:v>
                </c:pt>
              </c:strCache>
            </c:strRef>
          </c:cat>
          <c:val>
            <c:numRef>
              <c:f>Лист1!$F$110:$F$112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0.25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758464"/>
        <c:axId val="83760256"/>
        <c:axId val="0"/>
      </c:bar3DChart>
      <c:catAx>
        <c:axId val="83758464"/>
        <c:scaling>
          <c:orientation val="minMax"/>
        </c:scaling>
        <c:delete val="1"/>
        <c:axPos val="b"/>
        <c:majorTickMark val="out"/>
        <c:minorTickMark val="none"/>
        <c:tickLblPos val="nextTo"/>
        <c:crossAx val="83760256"/>
        <c:crosses val="autoZero"/>
        <c:auto val="1"/>
        <c:lblAlgn val="ctr"/>
        <c:lblOffset val="100"/>
        <c:noMultiLvlLbl val="0"/>
      </c:catAx>
      <c:valAx>
        <c:axId val="83760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75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Лист1!$A$126</c:f>
              <c:strCache>
                <c:ptCount val="1"/>
                <c:pt idx="0">
                  <c:v>готовность в школе</c:v>
                </c:pt>
              </c:strCache>
            </c:strRef>
          </c:tx>
          <c:invertIfNegative val="0"/>
          <c:cat>
            <c:strRef>
              <c:f>Лист1!$B$125:$D$125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Лист1!$B$126:$D$126</c:f>
              <c:numCache>
                <c:formatCode>0%</c:formatCode>
                <c:ptCount val="3"/>
                <c:pt idx="0">
                  <c:v>0.4</c:v>
                </c:pt>
                <c:pt idx="1">
                  <c:v>0.24</c:v>
                </c:pt>
                <c:pt idx="2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Лист1!$A$127</c:f>
              <c:strCache>
                <c:ptCount val="1"/>
                <c:pt idx="0">
                  <c:v>адаптация к условиям обучения в школе</c:v>
                </c:pt>
              </c:strCache>
            </c:strRef>
          </c:tx>
          <c:invertIfNegative val="0"/>
          <c:cat>
            <c:strRef>
              <c:f>Лист1!$B$125:$D$125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Лист1!$B$127:$D$127</c:f>
              <c:numCache>
                <c:formatCode>0%</c:formatCode>
                <c:ptCount val="3"/>
                <c:pt idx="0">
                  <c:v>0.38</c:v>
                </c:pt>
                <c:pt idx="1">
                  <c:v>0.33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773312"/>
        <c:axId val="83774848"/>
        <c:axId val="0"/>
      </c:bar3DChart>
      <c:catAx>
        <c:axId val="8377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3774848"/>
        <c:crosses val="autoZero"/>
        <c:auto val="1"/>
        <c:lblAlgn val="ctr"/>
        <c:lblOffset val="100"/>
        <c:noMultiLvlLbl val="0"/>
      </c:catAx>
      <c:valAx>
        <c:axId val="83774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77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Лист1!$A$142:$A$143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Лист1!$B$142:$B$143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Лист1!$A$152:$A$155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отсутствует</c:v>
                </c:pt>
              </c:strCache>
            </c:strRef>
          </c:cat>
          <c:val>
            <c:numRef>
              <c:f>Лист1!$B$152:$B$155</c:f>
              <c:numCache>
                <c:formatCode>0%</c:formatCode>
                <c:ptCount val="4"/>
                <c:pt idx="0">
                  <c:v>0.18</c:v>
                </c:pt>
                <c:pt idx="1">
                  <c:v>0.55000000000000004</c:v>
                </c:pt>
                <c:pt idx="2">
                  <c:v>0.09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7</cp:revision>
  <dcterms:created xsi:type="dcterms:W3CDTF">2014-07-10T05:08:00Z</dcterms:created>
  <dcterms:modified xsi:type="dcterms:W3CDTF">2014-08-27T04:13:00Z</dcterms:modified>
</cp:coreProperties>
</file>